
<file path=[Content_Types].xml><?xml version="1.0" encoding="utf-8"?>
<Types xmlns="http://schemas.openxmlformats.org/package/2006/content-types">
  <Default Extension="xml" ContentType="application/xml"/>
  <Default Extension="jpeg" ContentType="image/jpeg"/>
  <Default Extension="JPG" ContentType="image/.jpg"/>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43B1896">
      <w:pPr>
        <w:jc w:val="center"/>
        <w:rPr>
          <w:rFonts w:ascii="宋体"/>
          <w:b/>
          <w:color w:val="auto"/>
          <w:sz w:val="48"/>
          <w:szCs w:val="48"/>
          <w:highlight w:val="none"/>
        </w:rPr>
      </w:pPr>
    </w:p>
    <w:p w14:paraId="0EB35707">
      <w:pPr>
        <w:tabs>
          <w:tab w:val="left" w:pos="2880"/>
        </w:tabs>
        <w:spacing w:line="1600" w:lineRule="atLeast"/>
        <w:ind w:firstLine="1440" w:firstLineChars="200"/>
        <w:jc w:val="both"/>
        <w:rPr>
          <w:sz w:val="72"/>
          <w:highlight w:val="none"/>
        </w:rPr>
      </w:pPr>
      <w:r>
        <w:rPr>
          <w:rFonts w:hint="eastAsia"/>
          <w:sz w:val="72"/>
          <w:highlight w:val="none"/>
        </w:rPr>
        <w:t>南庄镇农村采购项目</w:t>
      </w:r>
      <w:bookmarkStart w:id="157" w:name="_GoBack"/>
      <w:bookmarkEnd w:id="157"/>
    </w:p>
    <w:p w14:paraId="52E10A15">
      <w:pPr>
        <w:tabs>
          <w:tab w:val="left" w:pos="420"/>
          <w:tab w:val="left" w:pos="6660"/>
        </w:tabs>
        <w:spacing w:line="1600" w:lineRule="atLeast"/>
        <w:jc w:val="center"/>
        <w:rPr>
          <w:sz w:val="72"/>
          <w:highlight w:val="none"/>
        </w:rPr>
      </w:pPr>
      <w:r>
        <w:rPr>
          <w:rFonts w:hint="eastAsia"/>
          <w:sz w:val="72"/>
          <w:highlight w:val="none"/>
        </w:rPr>
        <w:t>公开竞投文件</w:t>
      </w:r>
    </w:p>
    <w:p w14:paraId="28F8C865">
      <w:pPr>
        <w:ind w:firstLine="210" w:firstLineChars="100"/>
        <w:jc w:val="center"/>
        <w:rPr>
          <w:rFonts w:hint="eastAsia"/>
          <w:highlight w:val="none"/>
        </w:rPr>
      </w:pPr>
    </w:p>
    <w:p w14:paraId="7CE02834">
      <w:pPr>
        <w:ind w:firstLine="210" w:firstLineChars="100"/>
        <w:rPr>
          <w:rFonts w:hint="eastAsia"/>
          <w:highlight w:val="none"/>
        </w:rPr>
      </w:pPr>
    </w:p>
    <w:p w14:paraId="67830612">
      <w:pPr>
        <w:ind w:firstLine="210" w:firstLineChars="100"/>
        <w:rPr>
          <w:rFonts w:hint="eastAsia"/>
          <w:highlight w:val="none"/>
        </w:rPr>
      </w:pPr>
    </w:p>
    <w:p w14:paraId="69F7E92B">
      <w:pPr>
        <w:ind w:firstLine="210" w:firstLineChars="100"/>
        <w:rPr>
          <w:rFonts w:hint="eastAsia"/>
          <w:highlight w:val="none"/>
        </w:rPr>
      </w:pPr>
    </w:p>
    <w:p w14:paraId="2FD61E85">
      <w:pPr>
        <w:rPr>
          <w:rFonts w:hint="eastAsia"/>
          <w:highlight w:val="none"/>
        </w:rPr>
      </w:pPr>
    </w:p>
    <w:p w14:paraId="3E0ACA06">
      <w:pPr>
        <w:pStyle w:val="6"/>
        <w:rPr>
          <w:rFonts w:hint="eastAsia"/>
          <w:highlight w:val="none"/>
        </w:rPr>
      </w:pPr>
    </w:p>
    <w:p w14:paraId="3149D5BF">
      <w:pPr>
        <w:pStyle w:val="6"/>
        <w:rPr>
          <w:rFonts w:hint="eastAsia"/>
          <w:highlight w:val="none"/>
        </w:rPr>
      </w:pPr>
    </w:p>
    <w:p w14:paraId="76A148B4">
      <w:pPr>
        <w:rPr>
          <w:rFonts w:hint="eastAsia"/>
          <w:highlight w:val="none"/>
        </w:rPr>
      </w:pPr>
    </w:p>
    <w:p w14:paraId="2E7B58E1">
      <w:pPr>
        <w:ind w:firstLine="280" w:firstLineChars="100"/>
        <w:rPr>
          <w:rFonts w:hint="eastAsia"/>
          <w:sz w:val="28"/>
          <w:szCs w:val="28"/>
          <w:highlight w:val="none"/>
        </w:rPr>
      </w:pPr>
    </w:p>
    <w:p w14:paraId="3ECADCF6">
      <w:pPr>
        <w:spacing w:line="500" w:lineRule="exact"/>
        <w:ind w:left="2674" w:leftChars="603" w:hanging="1408" w:hangingChars="501"/>
        <w:rPr>
          <w:rFonts w:hint="eastAsia" w:ascii="宋体" w:hAnsi="宋体" w:eastAsia="宋体" w:cs="宋体"/>
          <w:b/>
          <w:bCs/>
          <w:color w:val="auto"/>
          <w:sz w:val="28"/>
          <w:szCs w:val="28"/>
          <w:highlight w:val="none"/>
          <w:lang w:eastAsia="zh-CN"/>
        </w:rPr>
      </w:pPr>
      <w:r>
        <w:rPr>
          <w:rFonts w:hint="eastAsia" w:ascii="宋体" w:hAnsi="宋体" w:cs="宋体"/>
          <w:b/>
          <w:bCs/>
          <w:color w:val="auto"/>
          <w:sz w:val="28"/>
          <w:szCs w:val="28"/>
          <w:highlight w:val="none"/>
        </w:rPr>
        <w:t>项目名称：</w:t>
      </w:r>
      <w:r>
        <w:rPr>
          <w:rFonts w:hint="eastAsia" w:ascii="宋体" w:hAnsi="宋体" w:cs="宋体"/>
          <w:b/>
          <w:bCs/>
          <w:color w:val="auto"/>
          <w:sz w:val="28"/>
          <w:szCs w:val="28"/>
          <w:highlight w:val="none"/>
          <w:lang w:eastAsia="zh-CN"/>
        </w:rPr>
        <w:t>吉利邓岗村车辆停放管理服务</w:t>
      </w:r>
    </w:p>
    <w:p w14:paraId="3DF81C07">
      <w:pPr>
        <w:spacing w:line="500" w:lineRule="exact"/>
        <w:ind w:left="2674" w:leftChars="603" w:hanging="1408" w:hangingChars="501"/>
        <w:rPr>
          <w:rFonts w:hint="eastAsia" w:ascii="宋体" w:hAnsi="宋体" w:eastAsia="宋体" w:cs="宋体"/>
          <w:b/>
          <w:bCs/>
          <w:color w:val="auto"/>
          <w:sz w:val="28"/>
          <w:szCs w:val="28"/>
          <w:highlight w:val="none"/>
          <w:lang w:eastAsia="zh-CN"/>
        </w:rPr>
      </w:pPr>
      <w:r>
        <w:rPr>
          <w:rFonts w:hint="eastAsia" w:ascii="宋体" w:hAnsi="宋体" w:cs="宋体"/>
          <w:b/>
          <w:bCs/>
          <w:color w:val="auto"/>
          <w:sz w:val="28"/>
          <w:szCs w:val="28"/>
          <w:highlight w:val="none"/>
        </w:rPr>
        <w:t>项目编号：</w:t>
      </w:r>
      <w:r>
        <w:rPr>
          <w:rFonts w:hint="eastAsia" w:ascii="宋体" w:hAnsi="宋体" w:cs="宋体"/>
          <w:b/>
          <w:bCs/>
          <w:color w:val="auto"/>
          <w:sz w:val="28"/>
          <w:szCs w:val="28"/>
          <w:highlight w:val="none"/>
          <w:lang w:eastAsia="zh-CN"/>
        </w:rPr>
        <w:t>GDZC-24JT197</w:t>
      </w:r>
    </w:p>
    <w:p w14:paraId="0F5E3A5B">
      <w:pPr>
        <w:spacing w:line="500" w:lineRule="exact"/>
        <w:jc w:val="center"/>
        <w:rPr>
          <w:rFonts w:hint="eastAsia"/>
          <w:b/>
          <w:bCs/>
          <w:color w:val="auto"/>
          <w:sz w:val="24"/>
          <w:highlight w:val="none"/>
        </w:rPr>
      </w:pPr>
    </w:p>
    <w:p w14:paraId="3F9E4744">
      <w:pPr>
        <w:spacing w:line="500" w:lineRule="exact"/>
        <w:jc w:val="center"/>
        <w:rPr>
          <w:rFonts w:hint="eastAsia"/>
          <w:b/>
          <w:bCs/>
          <w:color w:val="auto"/>
          <w:sz w:val="24"/>
          <w:highlight w:val="none"/>
        </w:rPr>
      </w:pPr>
    </w:p>
    <w:p w14:paraId="364B5973">
      <w:pPr>
        <w:pStyle w:val="6"/>
        <w:rPr>
          <w:rFonts w:hint="eastAsia"/>
          <w:b/>
          <w:bCs/>
          <w:color w:val="auto"/>
          <w:sz w:val="24"/>
          <w:highlight w:val="none"/>
        </w:rPr>
      </w:pPr>
    </w:p>
    <w:p w14:paraId="11FB0764">
      <w:pPr>
        <w:pStyle w:val="6"/>
        <w:rPr>
          <w:rFonts w:hint="eastAsia"/>
          <w:b/>
          <w:bCs/>
          <w:color w:val="auto"/>
          <w:sz w:val="24"/>
          <w:highlight w:val="none"/>
        </w:rPr>
      </w:pPr>
    </w:p>
    <w:p w14:paraId="26098C6E">
      <w:pPr>
        <w:ind w:firstLine="1265" w:firstLineChars="450"/>
        <w:rPr>
          <w:rFonts w:hint="eastAsia" w:ascii="宋体" w:hAnsi="宋体" w:eastAsia="宋体"/>
          <w:b/>
          <w:color w:val="auto"/>
          <w:sz w:val="28"/>
          <w:szCs w:val="28"/>
          <w:highlight w:val="none"/>
          <w:lang w:eastAsia="zh-CN"/>
        </w:rPr>
      </w:pPr>
      <w:r>
        <w:rPr>
          <w:rFonts w:hint="eastAsia" w:ascii="宋体" w:hAnsi="宋体"/>
          <w:b/>
          <w:color w:val="auto"/>
          <w:sz w:val="28"/>
          <w:szCs w:val="28"/>
          <w:highlight w:val="none"/>
          <w:lang w:eastAsia="zh-CN"/>
        </w:rPr>
        <w:t>招标人</w:t>
      </w:r>
      <w:r>
        <w:rPr>
          <w:rFonts w:hint="eastAsia" w:ascii="宋体" w:hAnsi="宋体"/>
          <w:b/>
          <w:color w:val="auto"/>
          <w:sz w:val="28"/>
          <w:szCs w:val="28"/>
          <w:highlight w:val="none"/>
        </w:rPr>
        <w:t>：</w:t>
      </w:r>
      <w:r>
        <w:rPr>
          <w:rFonts w:hint="eastAsia" w:ascii="宋体" w:hAnsi="宋体" w:cs="宋体"/>
          <w:b/>
          <w:bCs/>
          <w:color w:val="auto"/>
          <w:sz w:val="28"/>
          <w:szCs w:val="28"/>
          <w:highlight w:val="none"/>
          <w:lang w:eastAsia="zh-CN"/>
        </w:rPr>
        <w:t>佛山市禅城区南庄镇吉利村邓岗经济合作社</w:t>
      </w:r>
    </w:p>
    <w:p w14:paraId="0AA742D6">
      <w:pPr>
        <w:rPr>
          <w:rFonts w:hint="eastAsia" w:ascii="宋体" w:hAnsi="宋体"/>
          <w:b/>
          <w:color w:val="auto"/>
          <w:sz w:val="28"/>
          <w:szCs w:val="28"/>
          <w:highlight w:val="none"/>
        </w:rPr>
      </w:pPr>
    </w:p>
    <w:p w14:paraId="16A9609D">
      <w:pPr>
        <w:ind w:firstLine="1265" w:firstLineChars="450"/>
        <w:rPr>
          <w:rFonts w:hint="eastAsia" w:ascii="宋体" w:hAnsi="宋体"/>
          <w:b/>
          <w:color w:val="auto"/>
          <w:sz w:val="28"/>
          <w:szCs w:val="28"/>
          <w:highlight w:val="none"/>
        </w:rPr>
      </w:pPr>
      <w:r>
        <w:rPr>
          <w:rFonts w:hint="eastAsia" w:ascii="宋体" w:hAnsi="宋体"/>
          <w:b/>
          <w:color w:val="auto"/>
          <w:sz w:val="28"/>
          <w:szCs w:val="28"/>
          <w:highlight w:val="none"/>
          <w:lang w:eastAsia="zh-CN"/>
        </w:rPr>
        <w:t>招标代理机构</w:t>
      </w:r>
      <w:r>
        <w:rPr>
          <w:rFonts w:hint="eastAsia" w:ascii="宋体" w:hAnsi="宋体"/>
          <w:b/>
          <w:color w:val="auto"/>
          <w:sz w:val="28"/>
          <w:szCs w:val="28"/>
          <w:highlight w:val="none"/>
        </w:rPr>
        <w:t>：广东中采招标有限公司</w:t>
      </w:r>
    </w:p>
    <w:p w14:paraId="42DC3BA4">
      <w:pPr>
        <w:rPr>
          <w:rFonts w:hint="eastAsia" w:ascii="宋体" w:hAnsi="宋体"/>
          <w:b/>
          <w:color w:val="auto"/>
          <w:sz w:val="28"/>
          <w:szCs w:val="28"/>
          <w:highlight w:val="none"/>
        </w:rPr>
      </w:pPr>
    </w:p>
    <w:p w14:paraId="54651BF4">
      <w:pPr>
        <w:spacing w:line="360" w:lineRule="auto"/>
        <w:jc w:val="center"/>
        <w:rPr>
          <w:rFonts w:hint="eastAsia" w:eastAsia="隶书"/>
          <w:b/>
          <w:bCs/>
          <w:color w:val="auto"/>
          <w:sz w:val="36"/>
          <w:highlight w:val="none"/>
        </w:rPr>
      </w:pPr>
    </w:p>
    <w:p w14:paraId="68702A76">
      <w:pPr>
        <w:pStyle w:val="6"/>
        <w:rPr>
          <w:rFonts w:hint="eastAsia"/>
          <w:color w:val="auto"/>
          <w:highlight w:val="none"/>
        </w:rPr>
      </w:pPr>
    </w:p>
    <w:p w14:paraId="2BF178E1">
      <w:pPr>
        <w:spacing w:line="360" w:lineRule="auto"/>
        <w:jc w:val="center"/>
        <w:rPr>
          <w:rFonts w:hint="eastAsia" w:eastAsia="隶书"/>
          <w:b/>
          <w:bCs/>
          <w:color w:val="auto"/>
          <w:sz w:val="36"/>
          <w:highlight w:val="none"/>
        </w:rPr>
      </w:pPr>
    </w:p>
    <w:p w14:paraId="4E85EDFC">
      <w:pPr>
        <w:spacing w:line="312" w:lineRule="auto"/>
        <w:jc w:val="center"/>
        <w:rPr>
          <w:rFonts w:hint="eastAsia" w:ascii="黑体" w:hAnsi="宋体" w:eastAsia="黑体"/>
          <w:b/>
          <w:bCs/>
          <w:color w:val="auto"/>
          <w:sz w:val="28"/>
          <w:highlight w:val="none"/>
        </w:rPr>
      </w:pPr>
      <w:r>
        <w:rPr>
          <w:rFonts w:hint="eastAsia" w:ascii="黑体" w:hAnsi="宋体" w:eastAsia="黑体"/>
          <w:b/>
          <w:bCs/>
          <w:color w:val="auto"/>
          <w:sz w:val="28"/>
          <w:highlight w:val="none"/>
        </w:rPr>
        <w:t>发布日期：</w:t>
      </w:r>
      <w:r>
        <w:rPr>
          <w:rFonts w:hint="eastAsia" w:ascii="黑体" w:hAnsi="宋体" w:eastAsia="黑体"/>
          <w:b/>
          <w:bCs/>
          <w:color w:val="auto"/>
          <w:sz w:val="28"/>
          <w:highlight w:val="none"/>
          <w:lang w:eastAsia="zh-CN"/>
        </w:rPr>
        <w:t>二〇二四年</w:t>
      </w:r>
      <w:r>
        <w:rPr>
          <w:rFonts w:hint="eastAsia" w:ascii="黑体" w:hAnsi="宋体" w:eastAsia="黑体"/>
          <w:b/>
          <w:bCs/>
          <w:color w:val="auto"/>
          <w:sz w:val="28"/>
          <w:highlight w:val="none"/>
          <w:lang w:val="en-US" w:eastAsia="zh-CN"/>
        </w:rPr>
        <w:t>十一</w:t>
      </w:r>
      <w:r>
        <w:rPr>
          <w:rFonts w:hint="eastAsia" w:ascii="黑体" w:hAnsi="宋体" w:eastAsia="黑体"/>
          <w:b/>
          <w:bCs/>
          <w:color w:val="auto"/>
          <w:sz w:val="28"/>
          <w:highlight w:val="none"/>
        </w:rPr>
        <w:t>月</w:t>
      </w:r>
    </w:p>
    <w:p w14:paraId="00180524">
      <w:pPr>
        <w:rPr>
          <w:rFonts w:hint="eastAsia" w:eastAsia="隶书"/>
          <w:b/>
          <w:bCs/>
          <w:sz w:val="32"/>
          <w:szCs w:val="32"/>
          <w:highlight w:val="none"/>
          <w:lang w:val="en-US" w:eastAsia="zh-CN"/>
        </w:rPr>
      </w:pPr>
    </w:p>
    <w:p w14:paraId="372950D2">
      <w:pPr>
        <w:pStyle w:val="6"/>
        <w:rPr>
          <w:rFonts w:hint="eastAsia" w:eastAsia="隶书"/>
          <w:b/>
          <w:bCs/>
          <w:sz w:val="32"/>
          <w:szCs w:val="32"/>
          <w:highlight w:val="none"/>
          <w:lang w:val="en-US" w:eastAsia="zh-CN"/>
        </w:rPr>
      </w:pPr>
    </w:p>
    <w:p w14:paraId="633F6BF0">
      <w:pPr>
        <w:rPr>
          <w:rFonts w:hint="eastAsia" w:eastAsia="隶书"/>
          <w:b/>
          <w:bCs/>
          <w:sz w:val="32"/>
          <w:szCs w:val="32"/>
          <w:highlight w:val="none"/>
          <w:lang w:val="en-US" w:eastAsia="zh-CN"/>
        </w:rPr>
      </w:pPr>
    </w:p>
    <w:p w14:paraId="4AACF2CE">
      <w:pPr>
        <w:pStyle w:val="6"/>
        <w:rPr>
          <w:rFonts w:hint="eastAsia" w:eastAsia="隶书"/>
          <w:b/>
          <w:bCs/>
          <w:sz w:val="32"/>
          <w:szCs w:val="32"/>
          <w:highlight w:val="none"/>
          <w:lang w:val="en-US" w:eastAsia="zh-CN"/>
        </w:rPr>
      </w:pPr>
    </w:p>
    <w:p w14:paraId="41DAE9BB">
      <w:pPr>
        <w:rPr>
          <w:rFonts w:hint="eastAsia" w:eastAsia="隶书"/>
          <w:b/>
          <w:bCs/>
          <w:sz w:val="32"/>
          <w:szCs w:val="32"/>
          <w:highlight w:val="none"/>
          <w:lang w:val="en-US" w:eastAsia="zh-CN"/>
        </w:rPr>
      </w:pPr>
    </w:p>
    <w:p w14:paraId="792B7C53">
      <w:pPr>
        <w:pStyle w:val="6"/>
        <w:rPr>
          <w:rFonts w:hint="eastAsia" w:eastAsia="隶书"/>
          <w:b/>
          <w:bCs/>
          <w:sz w:val="32"/>
          <w:szCs w:val="32"/>
          <w:highlight w:val="none"/>
          <w:lang w:val="en-US" w:eastAsia="zh-CN"/>
        </w:rPr>
      </w:pPr>
    </w:p>
    <w:p w14:paraId="23E1ED30">
      <w:pPr>
        <w:spacing w:before="240" w:beforeLines="100"/>
        <w:jc w:val="center"/>
        <w:rPr>
          <w:rFonts w:hint="eastAsia" w:ascii="宋体" w:hAnsi="宋体"/>
          <w:b/>
          <w:color w:val="auto"/>
          <w:sz w:val="48"/>
          <w:szCs w:val="48"/>
          <w:highlight w:val="none"/>
        </w:rPr>
        <w:sectPr>
          <w:headerReference r:id="rId3" w:type="default"/>
          <w:pgSz w:w="11850" w:h="16783"/>
          <w:pgMar w:top="1134" w:right="1134" w:bottom="1134" w:left="1417" w:header="573" w:footer="584" w:gutter="0"/>
          <w:pgBorders>
            <w:top w:val="none" w:sz="0" w:space="0"/>
            <w:left w:val="none" w:sz="0" w:space="0"/>
            <w:bottom w:val="none" w:sz="0" w:space="0"/>
            <w:right w:val="none" w:sz="0" w:space="0"/>
          </w:pgBorders>
          <w:cols w:space="0" w:num="1"/>
          <w:rtlGutter w:val="0"/>
          <w:docGrid w:linePitch="0" w:charSpace="0"/>
        </w:sectPr>
      </w:pPr>
    </w:p>
    <w:p w14:paraId="00811843">
      <w:pPr>
        <w:spacing w:before="240" w:beforeLines="100"/>
        <w:jc w:val="center"/>
        <w:rPr>
          <w:rFonts w:hint="eastAsia" w:ascii="宋体" w:hAnsi="宋体"/>
          <w:b/>
          <w:color w:val="auto"/>
          <w:sz w:val="48"/>
          <w:szCs w:val="48"/>
          <w:highlight w:val="none"/>
        </w:rPr>
      </w:pPr>
      <w:r>
        <w:rPr>
          <w:rFonts w:hint="eastAsia" w:ascii="宋体" w:hAnsi="宋体"/>
          <w:b/>
          <w:color w:val="auto"/>
          <w:sz w:val="48"/>
          <w:szCs w:val="48"/>
          <w:highlight w:val="none"/>
        </w:rPr>
        <w:t>目</w:t>
      </w:r>
      <w:r>
        <w:rPr>
          <w:rFonts w:hint="eastAsia" w:ascii="宋体" w:hAnsi="宋体"/>
          <w:b/>
          <w:color w:val="auto"/>
          <w:sz w:val="48"/>
          <w:szCs w:val="48"/>
          <w:highlight w:val="none"/>
          <w:lang w:val="en-US" w:eastAsia="zh-CN"/>
        </w:rPr>
        <w:t xml:space="preserve">  </w:t>
      </w:r>
      <w:r>
        <w:rPr>
          <w:rFonts w:hint="eastAsia" w:ascii="宋体" w:hAnsi="宋体"/>
          <w:b/>
          <w:color w:val="auto"/>
          <w:sz w:val="48"/>
          <w:szCs w:val="48"/>
          <w:highlight w:val="none"/>
        </w:rPr>
        <w:t>录</w:t>
      </w:r>
    </w:p>
    <w:p w14:paraId="584680F9">
      <w:pPr>
        <w:spacing w:before="240" w:beforeLines="100"/>
        <w:jc w:val="center"/>
        <w:rPr>
          <w:rFonts w:hint="eastAsia" w:ascii="宋体" w:hAnsi="宋体"/>
          <w:b/>
          <w:color w:val="auto"/>
          <w:sz w:val="24"/>
          <w:szCs w:val="24"/>
          <w:highlight w:val="none"/>
        </w:rPr>
      </w:pPr>
    </w:p>
    <w:p w14:paraId="3EE623A1">
      <w:pPr>
        <w:pStyle w:val="15"/>
        <w:tabs>
          <w:tab w:val="right" w:leader="dot" w:pos="9299"/>
        </w:tabs>
        <w:spacing w:line="360" w:lineRule="auto"/>
        <w:rPr>
          <w:rFonts w:hint="eastAsia" w:asciiTheme="majorEastAsia" w:hAnsiTheme="majorEastAsia" w:eastAsiaTheme="majorEastAsia" w:cstheme="majorEastAsia"/>
          <w:sz w:val="24"/>
          <w:szCs w:val="24"/>
          <w:highlight w:val="none"/>
        </w:rPr>
      </w:pPr>
      <w:bookmarkStart w:id="0" w:name="_Toc334432586"/>
      <w:r>
        <w:rPr>
          <w:rFonts w:hint="eastAsia" w:asciiTheme="minorEastAsia" w:hAnsiTheme="minorEastAsia" w:eastAsiaTheme="minorEastAsia" w:cstheme="minorEastAsia"/>
          <w:b w:val="0"/>
          <w:bCs w:val="0"/>
          <w:color w:val="auto"/>
          <w:sz w:val="22"/>
          <w:szCs w:val="22"/>
          <w:highlight w:val="none"/>
        </w:rPr>
        <w:fldChar w:fldCharType="begin"/>
      </w:r>
      <w:r>
        <w:rPr>
          <w:rFonts w:hint="eastAsia" w:asciiTheme="minorEastAsia" w:hAnsiTheme="minorEastAsia" w:eastAsiaTheme="minorEastAsia" w:cstheme="minorEastAsia"/>
          <w:b w:val="0"/>
          <w:bCs w:val="0"/>
          <w:color w:val="auto"/>
          <w:sz w:val="22"/>
          <w:szCs w:val="22"/>
          <w:highlight w:val="none"/>
        </w:rPr>
        <w:instrText xml:space="preserve">TOC \o "1-3" \h \u </w:instrText>
      </w:r>
      <w:r>
        <w:rPr>
          <w:rFonts w:hint="eastAsia" w:asciiTheme="minorEastAsia" w:hAnsiTheme="minorEastAsia" w:eastAsiaTheme="minorEastAsia" w:cstheme="minorEastAsia"/>
          <w:b w:val="0"/>
          <w:bCs w:val="0"/>
          <w:color w:val="auto"/>
          <w:sz w:val="22"/>
          <w:szCs w:val="22"/>
          <w:highlight w:val="none"/>
        </w:rPr>
        <w:fldChar w:fldCharType="separate"/>
      </w:r>
      <w:r>
        <w:rPr>
          <w:rFonts w:hint="eastAsia" w:asciiTheme="majorEastAsia" w:hAnsiTheme="majorEastAsia" w:eastAsiaTheme="majorEastAsia" w:cstheme="majorEastAsia"/>
          <w:bCs w:val="0"/>
          <w:color w:val="auto"/>
          <w:sz w:val="24"/>
          <w:szCs w:val="24"/>
          <w:highlight w:val="none"/>
        </w:rPr>
        <w:fldChar w:fldCharType="begin"/>
      </w:r>
      <w:r>
        <w:rPr>
          <w:rFonts w:hint="eastAsia" w:asciiTheme="majorEastAsia" w:hAnsiTheme="majorEastAsia" w:eastAsiaTheme="majorEastAsia" w:cstheme="majorEastAsia"/>
          <w:bCs w:val="0"/>
          <w:sz w:val="24"/>
          <w:szCs w:val="24"/>
          <w:highlight w:val="none"/>
        </w:rPr>
        <w:instrText xml:space="preserve"> HYPERLINK \l _Toc4354 </w:instrText>
      </w:r>
      <w:r>
        <w:rPr>
          <w:rFonts w:hint="eastAsia" w:asciiTheme="majorEastAsia" w:hAnsiTheme="majorEastAsia" w:eastAsiaTheme="majorEastAsia" w:cstheme="majorEastAsia"/>
          <w:bCs w:val="0"/>
          <w:sz w:val="24"/>
          <w:szCs w:val="24"/>
          <w:highlight w:val="none"/>
        </w:rPr>
        <w:fldChar w:fldCharType="separate"/>
      </w:r>
      <w:r>
        <w:rPr>
          <w:rFonts w:hint="eastAsia" w:asciiTheme="majorEastAsia" w:hAnsiTheme="majorEastAsia" w:eastAsiaTheme="majorEastAsia" w:cstheme="majorEastAsia"/>
          <w:sz w:val="24"/>
          <w:szCs w:val="24"/>
          <w:highlight w:val="none"/>
        </w:rPr>
        <w:t>第一部分</w:t>
      </w:r>
      <w:r>
        <w:rPr>
          <w:rFonts w:hint="eastAsia" w:asciiTheme="majorEastAsia" w:hAnsiTheme="majorEastAsia" w:eastAsiaTheme="majorEastAsia" w:cstheme="majorEastAsia"/>
          <w:sz w:val="24"/>
          <w:szCs w:val="24"/>
          <w:highlight w:val="none"/>
          <w:lang w:val="en-US" w:eastAsia="zh-CN"/>
        </w:rPr>
        <w:t xml:space="preserve">  </w:t>
      </w:r>
      <w:r>
        <w:rPr>
          <w:rFonts w:hint="eastAsia" w:asciiTheme="majorEastAsia" w:hAnsiTheme="majorEastAsia" w:eastAsiaTheme="majorEastAsia" w:cstheme="majorEastAsia"/>
          <w:sz w:val="24"/>
          <w:szCs w:val="24"/>
          <w:highlight w:val="none"/>
          <w:lang w:eastAsia="zh-CN"/>
        </w:rPr>
        <w:t>竞投公告</w:t>
      </w:r>
      <w:r>
        <w:rPr>
          <w:rFonts w:hint="eastAsia" w:asciiTheme="majorEastAsia" w:hAnsiTheme="majorEastAsia" w:eastAsiaTheme="majorEastAsia" w:cstheme="majorEastAsia"/>
          <w:sz w:val="24"/>
          <w:szCs w:val="24"/>
          <w:highlight w:val="none"/>
        </w:rPr>
        <w:tab/>
      </w:r>
      <w:r>
        <w:rPr>
          <w:rFonts w:hint="eastAsia" w:asciiTheme="majorEastAsia" w:hAnsiTheme="majorEastAsia" w:eastAsiaTheme="majorEastAsia" w:cstheme="majorEastAsia"/>
          <w:sz w:val="24"/>
          <w:szCs w:val="24"/>
          <w:highlight w:val="none"/>
        </w:rPr>
        <w:fldChar w:fldCharType="begin"/>
      </w:r>
      <w:r>
        <w:rPr>
          <w:rFonts w:hint="eastAsia" w:asciiTheme="majorEastAsia" w:hAnsiTheme="majorEastAsia" w:eastAsiaTheme="majorEastAsia" w:cstheme="majorEastAsia"/>
          <w:sz w:val="24"/>
          <w:szCs w:val="24"/>
          <w:highlight w:val="none"/>
        </w:rPr>
        <w:instrText xml:space="preserve"> PAGEREF _Toc4354 \h </w:instrText>
      </w:r>
      <w:r>
        <w:rPr>
          <w:rFonts w:hint="eastAsia" w:asciiTheme="majorEastAsia" w:hAnsiTheme="majorEastAsia" w:eastAsiaTheme="majorEastAsia" w:cstheme="majorEastAsia"/>
          <w:sz w:val="24"/>
          <w:szCs w:val="24"/>
          <w:highlight w:val="none"/>
        </w:rPr>
        <w:fldChar w:fldCharType="separate"/>
      </w:r>
      <w:r>
        <w:rPr>
          <w:rFonts w:hint="eastAsia" w:asciiTheme="majorEastAsia" w:hAnsiTheme="majorEastAsia" w:eastAsiaTheme="majorEastAsia" w:cstheme="majorEastAsia"/>
          <w:sz w:val="24"/>
          <w:szCs w:val="24"/>
          <w:highlight w:val="none"/>
        </w:rPr>
        <w:t>2</w:t>
      </w:r>
      <w:r>
        <w:rPr>
          <w:rFonts w:hint="eastAsia" w:asciiTheme="majorEastAsia" w:hAnsiTheme="majorEastAsia" w:eastAsiaTheme="majorEastAsia" w:cstheme="majorEastAsia"/>
          <w:sz w:val="24"/>
          <w:szCs w:val="24"/>
          <w:highlight w:val="none"/>
        </w:rPr>
        <w:fldChar w:fldCharType="end"/>
      </w:r>
      <w:r>
        <w:rPr>
          <w:rFonts w:hint="eastAsia" w:asciiTheme="majorEastAsia" w:hAnsiTheme="majorEastAsia" w:eastAsiaTheme="majorEastAsia" w:cstheme="majorEastAsia"/>
          <w:bCs w:val="0"/>
          <w:color w:val="auto"/>
          <w:sz w:val="24"/>
          <w:szCs w:val="24"/>
          <w:highlight w:val="none"/>
        </w:rPr>
        <w:fldChar w:fldCharType="end"/>
      </w:r>
    </w:p>
    <w:p w14:paraId="42112BF5">
      <w:pPr>
        <w:pStyle w:val="15"/>
        <w:tabs>
          <w:tab w:val="right" w:leader="dot" w:pos="9299"/>
        </w:tabs>
        <w:spacing w:line="360" w:lineRule="auto"/>
        <w:rPr>
          <w:rFonts w:hint="eastAsia" w:asciiTheme="majorEastAsia" w:hAnsiTheme="majorEastAsia" w:eastAsiaTheme="majorEastAsia" w:cstheme="majorEastAsia"/>
          <w:sz w:val="24"/>
          <w:szCs w:val="24"/>
          <w:highlight w:val="none"/>
        </w:rPr>
      </w:pPr>
      <w:r>
        <w:rPr>
          <w:rFonts w:hint="eastAsia" w:asciiTheme="majorEastAsia" w:hAnsiTheme="majorEastAsia" w:eastAsiaTheme="majorEastAsia" w:cstheme="majorEastAsia"/>
          <w:bCs w:val="0"/>
          <w:color w:val="auto"/>
          <w:sz w:val="24"/>
          <w:szCs w:val="24"/>
          <w:highlight w:val="none"/>
        </w:rPr>
        <w:fldChar w:fldCharType="begin"/>
      </w:r>
      <w:r>
        <w:rPr>
          <w:rFonts w:hint="eastAsia" w:asciiTheme="majorEastAsia" w:hAnsiTheme="majorEastAsia" w:eastAsiaTheme="majorEastAsia" w:cstheme="majorEastAsia"/>
          <w:bCs w:val="0"/>
          <w:sz w:val="24"/>
          <w:szCs w:val="24"/>
          <w:highlight w:val="none"/>
        </w:rPr>
        <w:instrText xml:space="preserve"> HYPERLINK \l _Toc21591 </w:instrText>
      </w:r>
      <w:r>
        <w:rPr>
          <w:rFonts w:hint="eastAsia" w:asciiTheme="majorEastAsia" w:hAnsiTheme="majorEastAsia" w:eastAsiaTheme="majorEastAsia" w:cstheme="majorEastAsia"/>
          <w:bCs w:val="0"/>
          <w:sz w:val="24"/>
          <w:szCs w:val="24"/>
          <w:highlight w:val="none"/>
        </w:rPr>
        <w:fldChar w:fldCharType="separate"/>
      </w:r>
      <w:r>
        <w:rPr>
          <w:rFonts w:hint="eastAsia" w:asciiTheme="majorEastAsia" w:hAnsiTheme="majorEastAsia" w:eastAsiaTheme="majorEastAsia" w:cstheme="majorEastAsia"/>
          <w:sz w:val="24"/>
          <w:szCs w:val="24"/>
          <w:highlight w:val="none"/>
          <w:lang w:val="en-US" w:eastAsia="zh-CN"/>
        </w:rPr>
        <w:t xml:space="preserve">第二部分  </w:t>
      </w:r>
      <w:r>
        <w:rPr>
          <w:rFonts w:hint="eastAsia" w:asciiTheme="majorEastAsia" w:hAnsiTheme="majorEastAsia" w:eastAsiaTheme="majorEastAsia" w:cstheme="majorEastAsia"/>
          <w:sz w:val="24"/>
          <w:szCs w:val="24"/>
          <w:highlight w:val="none"/>
        </w:rPr>
        <w:t>项目内容</w:t>
      </w:r>
      <w:r>
        <w:rPr>
          <w:rFonts w:hint="eastAsia" w:asciiTheme="majorEastAsia" w:hAnsiTheme="majorEastAsia" w:eastAsiaTheme="majorEastAsia" w:cstheme="majorEastAsia"/>
          <w:sz w:val="24"/>
          <w:szCs w:val="24"/>
          <w:highlight w:val="none"/>
        </w:rPr>
        <w:tab/>
      </w:r>
      <w:r>
        <w:rPr>
          <w:rFonts w:hint="eastAsia" w:asciiTheme="majorEastAsia" w:hAnsiTheme="majorEastAsia" w:eastAsiaTheme="majorEastAsia" w:cstheme="majorEastAsia"/>
          <w:sz w:val="24"/>
          <w:szCs w:val="24"/>
          <w:highlight w:val="none"/>
        </w:rPr>
        <w:fldChar w:fldCharType="begin"/>
      </w:r>
      <w:r>
        <w:rPr>
          <w:rFonts w:hint="eastAsia" w:asciiTheme="majorEastAsia" w:hAnsiTheme="majorEastAsia" w:eastAsiaTheme="majorEastAsia" w:cstheme="majorEastAsia"/>
          <w:sz w:val="24"/>
          <w:szCs w:val="24"/>
          <w:highlight w:val="none"/>
        </w:rPr>
        <w:instrText xml:space="preserve"> PAGEREF _Toc21591 \h </w:instrText>
      </w:r>
      <w:r>
        <w:rPr>
          <w:rFonts w:hint="eastAsia" w:asciiTheme="majorEastAsia" w:hAnsiTheme="majorEastAsia" w:eastAsiaTheme="majorEastAsia" w:cstheme="majorEastAsia"/>
          <w:sz w:val="24"/>
          <w:szCs w:val="24"/>
          <w:highlight w:val="none"/>
        </w:rPr>
        <w:fldChar w:fldCharType="separate"/>
      </w:r>
      <w:r>
        <w:rPr>
          <w:rFonts w:hint="eastAsia" w:asciiTheme="majorEastAsia" w:hAnsiTheme="majorEastAsia" w:eastAsiaTheme="majorEastAsia" w:cstheme="majorEastAsia"/>
          <w:sz w:val="24"/>
          <w:szCs w:val="24"/>
          <w:highlight w:val="none"/>
        </w:rPr>
        <w:t>5</w:t>
      </w:r>
      <w:r>
        <w:rPr>
          <w:rFonts w:hint="eastAsia" w:asciiTheme="majorEastAsia" w:hAnsiTheme="majorEastAsia" w:eastAsiaTheme="majorEastAsia" w:cstheme="majorEastAsia"/>
          <w:sz w:val="24"/>
          <w:szCs w:val="24"/>
          <w:highlight w:val="none"/>
        </w:rPr>
        <w:fldChar w:fldCharType="end"/>
      </w:r>
      <w:r>
        <w:rPr>
          <w:rFonts w:hint="eastAsia" w:asciiTheme="majorEastAsia" w:hAnsiTheme="majorEastAsia" w:eastAsiaTheme="majorEastAsia" w:cstheme="majorEastAsia"/>
          <w:bCs w:val="0"/>
          <w:color w:val="auto"/>
          <w:sz w:val="24"/>
          <w:szCs w:val="24"/>
          <w:highlight w:val="none"/>
        </w:rPr>
        <w:fldChar w:fldCharType="end"/>
      </w:r>
    </w:p>
    <w:p w14:paraId="1FE8F0A1">
      <w:pPr>
        <w:pStyle w:val="15"/>
        <w:tabs>
          <w:tab w:val="right" w:leader="dot" w:pos="9299"/>
        </w:tabs>
        <w:spacing w:line="360" w:lineRule="auto"/>
        <w:rPr>
          <w:rFonts w:hint="default" w:asciiTheme="majorEastAsia" w:hAnsiTheme="majorEastAsia" w:eastAsiaTheme="majorEastAsia" w:cstheme="majorEastAsia"/>
          <w:sz w:val="24"/>
          <w:szCs w:val="24"/>
          <w:highlight w:val="none"/>
          <w:lang w:val="en-US" w:eastAsia="zh-CN"/>
        </w:rPr>
      </w:pPr>
      <w:r>
        <w:rPr>
          <w:rFonts w:hint="eastAsia" w:asciiTheme="majorEastAsia" w:hAnsiTheme="majorEastAsia" w:eastAsiaTheme="majorEastAsia" w:cstheme="majorEastAsia"/>
          <w:bCs w:val="0"/>
          <w:color w:val="auto"/>
          <w:sz w:val="24"/>
          <w:szCs w:val="24"/>
          <w:highlight w:val="none"/>
        </w:rPr>
        <w:fldChar w:fldCharType="begin"/>
      </w:r>
      <w:r>
        <w:rPr>
          <w:rFonts w:hint="eastAsia" w:asciiTheme="majorEastAsia" w:hAnsiTheme="majorEastAsia" w:eastAsiaTheme="majorEastAsia" w:cstheme="majorEastAsia"/>
          <w:bCs w:val="0"/>
          <w:sz w:val="24"/>
          <w:szCs w:val="24"/>
          <w:highlight w:val="none"/>
        </w:rPr>
        <w:instrText xml:space="preserve"> HYPERLINK \l _Toc5219 </w:instrText>
      </w:r>
      <w:r>
        <w:rPr>
          <w:rFonts w:hint="eastAsia" w:asciiTheme="majorEastAsia" w:hAnsiTheme="majorEastAsia" w:eastAsiaTheme="majorEastAsia" w:cstheme="majorEastAsia"/>
          <w:bCs w:val="0"/>
          <w:sz w:val="24"/>
          <w:szCs w:val="24"/>
          <w:highlight w:val="none"/>
        </w:rPr>
        <w:fldChar w:fldCharType="separate"/>
      </w:r>
      <w:r>
        <w:rPr>
          <w:rFonts w:hint="eastAsia" w:asciiTheme="majorEastAsia" w:hAnsiTheme="majorEastAsia" w:eastAsiaTheme="majorEastAsia" w:cstheme="majorEastAsia"/>
          <w:sz w:val="24"/>
          <w:szCs w:val="24"/>
          <w:highlight w:val="none"/>
          <w:lang w:val="en-US" w:eastAsia="zh-CN"/>
        </w:rPr>
        <w:t>第三部分  投标人须知</w:t>
      </w:r>
      <w:r>
        <w:rPr>
          <w:rFonts w:hint="eastAsia" w:asciiTheme="majorEastAsia" w:hAnsiTheme="majorEastAsia" w:eastAsiaTheme="majorEastAsia" w:cstheme="majorEastAsia"/>
          <w:sz w:val="24"/>
          <w:szCs w:val="24"/>
          <w:highlight w:val="none"/>
        </w:rPr>
        <w:tab/>
      </w:r>
      <w:r>
        <w:rPr>
          <w:rFonts w:hint="eastAsia" w:asciiTheme="majorEastAsia" w:hAnsiTheme="majorEastAsia" w:eastAsiaTheme="majorEastAsia" w:cstheme="majorEastAsia"/>
          <w:bCs w:val="0"/>
          <w:color w:val="auto"/>
          <w:sz w:val="24"/>
          <w:szCs w:val="24"/>
          <w:highlight w:val="none"/>
        </w:rPr>
        <w:fldChar w:fldCharType="end"/>
      </w:r>
      <w:r>
        <w:rPr>
          <w:rFonts w:hint="eastAsia" w:asciiTheme="majorEastAsia" w:hAnsiTheme="majorEastAsia" w:eastAsiaTheme="majorEastAsia" w:cstheme="majorEastAsia"/>
          <w:bCs w:val="0"/>
          <w:color w:val="auto"/>
          <w:sz w:val="24"/>
          <w:szCs w:val="24"/>
          <w:highlight w:val="none"/>
          <w:lang w:val="en-US" w:eastAsia="zh-CN"/>
        </w:rPr>
        <w:t>14</w:t>
      </w:r>
    </w:p>
    <w:p w14:paraId="3CAF165A">
      <w:pPr>
        <w:pStyle w:val="15"/>
        <w:tabs>
          <w:tab w:val="right" w:leader="dot" w:pos="9299"/>
        </w:tabs>
        <w:spacing w:line="360" w:lineRule="auto"/>
        <w:rPr>
          <w:rFonts w:hint="eastAsia" w:asciiTheme="majorEastAsia" w:hAnsiTheme="majorEastAsia" w:eastAsiaTheme="majorEastAsia" w:cstheme="majorEastAsia"/>
          <w:sz w:val="24"/>
          <w:szCs w:val="24"/>
          <w:highlight w:val="none"/>
          <w:lang w:val="en-US" w:eastAsia="zh-CN"/>
        </w:rPr>
      </w:pPr>
      <w:r>
        <w:rPr>
          <w:rFonts w:hint="eastAsia" w:asciiTheme="majorEastAsia" w:hAnsiTheme="majorEastAsia" w:eastAsiaTheme="majorEastAsia" w:cstheme="majorEastAsia"/>
          <w:bCs w:val="0"/>
          <w:color w:val="auto"/>
          <w:sz w:val="24"/>
          <w:szCs w:val="24"/>
          <w:highlight w:val="none"/>
        </w:rPr>
        <w:fldChar w:fldCharType="begin"/>
      </w:r>
      <w:r>
        <w:rPr>
          <w:rFonts w:hint="eastAsia" w:asciiTheme="majorEastAsia" w:hAnsiTheme="majorEastAsia" w:eastAsiaTheme="majorEastAsia" w:cstheme="majorEastAsia"/>
          <w:bCs w:val="0"/>
          <w:sz w:val="24"/>
          <w:szCs w:val="24"/>
          <w:highlight w:val="none"/>
        </w:rPr>
        <w:instrText xml:space="preserve"> HYPERLINK \l _Toc30654 </w:instrText>
      </w:r>
      <w:r>
        <w:rPr>
          <w:rFonts w:hint="eastAsia" w:asciiTheme="majorEastAsia" w:hAnsiTheme="majorEastAsia" w:eastAsiaTheme="majorEastAsia" w:cstheme="majorEastAsia"/>
          <w:bCs w:val="0"/>
          <w:sz w:val="24"/>
          <w:szCs w:val="24"/>
          <w:highlight w:val="none"/>
        </w:rPr>
        <w:fldChar w:fldCharType="separate"/>
      </w:r>
      <w:r>
        <w:rPr>
          <w:rFonts w:hint="eastAsia" w:asciiTheme="majorEastAsia" w:hAnsiTheme="majorEastAsia" w:eastAsiaTheme="majorEastAsia" w:cstheme="majorEastAsia"/>
          <w:kern w:val="2"/>
          <w:sz w:val="24"/>
          <w:szCs w:val="24"/>
          <w:highlight w:val="none"/>
          <w:lang w:val="en-US" w:eastAsia="zh-CN" w:bidi="ar-SA"/>
        </w:rPr>
        <w:t>第四部分  合同书范本</w:t>
      </w:r>
      <w:r>
        <w:rPr>
          <w:rFonts w:hint="eastAsia" w:asciiTheme="majorEastAsia" w:hAnsiTheme="majorEastAsia" w:eastAsiaTheme="majorEastAsia" w:cstheme="majorEastAsia"/>
          <w:sz w:val="24"/>
          <w:szCs w:val="24"/>
          <w:highlight w:val="none"/>
        </w:rPr>
        <w:tab/>
      </w:r>
      <w:r>
        <w:rPr>
          <w:rFonts w:hint="eastAsia" w:asciiTheme="majorEastAsia" w:hAnsiTheme="majorEastAsia" w:eastAsiaTheme="majorEastAsia" w:cstheme="majorEastAsia"/>
          <w:sz w:val="24"/>
          <w:szCs w:val="24"/>
          <w:highlight w:val="none"/>
          <w:lang w:val="en-US" w:eastAsia="zh-CN"/>
        </w:rPr>
        <w:t>2</w:t>
      </w:r>
      <w:r>
        <w:rPr>
          <w:rFonts w:hint="eastAsia" w:asciiTheme="majorEastAsia" w:hAnsiTheme="majorEastAsia" w:eastAsiaTheme="majorEastAsia" w:cstheme="majorEastAsia"/>
          <w:bCs w:val="0"/>
          <w:color w:val="auto"/>
          <w:sz w:val="24"/>
          <w:szCs w:val="24"/>
          <w:highlight w:val="none"/>
        </w:rPr>
        <w:fldChar w:fldCharType="end"/>
      </w:r>
      <w:r>
        <w:rPr>
          <w:rFonts w:hint="eastAsia" w:asciiTheme="majorEastAsia" w:hAnsiTheme="majorEastAsia" w:eastAsiaTheme="majorEastAsia" w:cstheme="majorEastAsia"/>
          <w:bCs w:val="0"/>
          <w:color w:val="auto"/>
          <w:sz w:val="24"/>
          <w:szCs w:val="24"/>
          <w:highlight w:val="none"/>
          <w:lang w:val="en-US" w:eastAsia="zh-CN"/>
        </w:rPr>
        <w:t>5</w:t>
      </w:r>
    </w:p>
    <w:p w14:paraId="4F3CEDEC">
      <w:pPr>
        <w:pStyle w:val="15"/>
        <w:tabs>
          <w:tab w:val="right" w:leader="dot" w:pos="9299"/>
        </w:tabs>
        <w:spacing w:line="360" w:lineRule="auto"/>
        <w:rPr>
          <w:rFonts w:hint="default" w:asciiTheme="majorEastAsia" w:hAnsiTheme="majorEastAsia" w:eastAsiaTheme="majorEastAsia" w:cstheme="majorEastAsia"/>
          <w:sz w:val="24"/>
          <w:szCs w:val="24"/>
          <w:highlight w:val="none"/>
          <w:lang w:val="en-US" w:eastAsia="zh-CN"/>
        </w:rPr>
      </w:pPr>
      <w:r>
        <w:rPr>
          <w:rFonts w:hint="eastAsia" w:asciiTheme="majorEastAsia" w:hAnsiTheme="majorEastAsia" w:eastAsiaTheme="majorEastAsia" w:cstheme="majorEastAsia"/>
          <w:bCs w:val="0"/>
          <w:color w:val="auto"/>
          <w:sz w:val="24"/>
          <w:szCs w:val="24"/>
          <w:highlight w:val="none"/>
        </w:rPr>
        <w:fldChar w:fldCharType="begin"/>
      </w:r>
      <w:r>
        <w:rPr>
          <w:rFonts w:hint="eastAsia" w:asciiTheme="majorEastAsia" w:hAnsiTheme="majorEastAsia" w:eastAsiaTheme="majorEastAsia" w:cstheme="majorEastAsia"/>
          <w:bCs w:val="0"/>
          <w:sz w:val="24"/>
          <w:szCs w:val="24"/>
          <w:highlight w:val="none"/>
        </w:rPr>
        <w:instrText xml:space="preserve"> HYPERLINK \l _Toc27266 </w:instrText>
      </w:r>
      <w:r>
        <w:rPr>
          <w:rFonts w:hint="eastAsia" w:asciiTheme="majorEastAsia" w:hAnsiTheme="majorEastAsia" w:eastAsiaTheme="majorEastAsia" w:cstheme="majorEastAsia"/>
          <w:bCs w:val="0"/>
          <w:sz w:val="24"/>
          <w:szCs w:val="24"/>
          <w:highlight w:val="none"/>
        </w:rPr>
        <w:fldChar w:fldCharType="separate"/>
      </w:r>
      <w:r>
        <w:rPr>
          <w:rFonts w:hint="eastAsia" w:asciiTheme="majorEastAsia" w:hAnsiTheme="majorEastAsia" w:eastAsiaTheme="majorEastAsia" w:cstheme="majorEastAsia"/>
          <w:kern w:val="2"/>
          <w:sz w:val="24"/>
          <w:szCs w:val="24"/>
          <w:highlight w:val="none"/>
          <w:lang w:val="en-US" w:eastAsia="zh-CN" w:bidi="ar-SA"/>
        </w:rPr>
        <w:t>第五部分  资格审查文件格式</w:t>
      </w:r>
      <w:r>
        <w:rPr>
          <w:rFonts w:hint="eastAsia" w:asciiTheme="majorEastAsia" w:hAnsiTheme="majorEastAsia" w:eastAsiaTheme="majorEastAsia" w:cstheme="majorEastAsia"/>
          <w:sz w:val="24"/>
          <w:szCs w:val="24"/>
          <w:highlight w:val="none"/>
        </w:rPr>
        <w:tab/>
      </w:r>
      <w:r>
        <w:rPr>
          <w:rFonts w:hint="eastAsia" w:asciiTheme="majorEastAsia" w:hAnsiTheme="majorEastAsia" w:eastAsiaTheme="majorEastAsia" w:cstheme="majorEastAsia"/>
          <w:bCs w:val="0"/>
          <w:color w:val="auto"/>
          <w:sz w:val="24"/>
          <w:szCs w:val="24"/>
          <w:highlight w:val="none"/>
        </w:rPr>
        <w:fldChar w:fldCharType="end"/>
      </w:r>
      <w:r>
        <w:rPr>
          <w:rFonts w:hint="eastAsia" w:asciiTheme="majorEastAsia" w:hAnsiTheme="majorEastAsia" w:eastAsiaTheme="majorEastAsia" w:cstheme="majorEastAsia"/>
          <w:bCs w:val="0"/>
          <w:color w:val="auto"/>
          <w:sz w:val="24"/>
          <w:szCs w:val="24"/>
          <w:highlight w:val="none"/>
          <w:lang w:val="en-US" w:eastAsia="zh-CN"/>
        </w:rPr>
        <w:t>38</w:t>
      </w:r>
    </w:p>
    <w:p w14:paraId="240B6AAA">
      <w:pPr>
        <w:pStyle w:val="11"/>
        <w:tabs>
          <w:tab w:val="right" w:leader="dot" w:pos="9299"/>
        </w:tabs>
        <w:rPr>
          <w:highlight w:val="none"/>
        </w:rPr>
      </w:pPr>
    </w:p>
    <w:p w14:paraId="3909D510">
      <w:pPr>
        <w:pStyle w:val="15"/>
        <w:tabs>
          <w:tab w:val="right" w:leader="dot" w:pos="9349"/>
        </w:tabs>
        <w:spacing w:line="360" w:lineRule="auto"/>
        <w:rPr>
          <w:rFonts w:hint="eastAsia" w:asciiTheme="minorEastAsia" w:hAnsiTheme="minorEastAsia" w:eastAsiaTheme="minorEastAsia" w:cstheme="minorEastAsia"/>
          <w:b w:val="0"/>
          <w:bCs w:val="0"/>
          <w:color w:val="auto"/>
          <w:sz w:val="22"/>
          <w:szCs w:val="22"/>
          <w:highlight w:val="none"/>
        </w:rPr>
      </w:pPr>
      <w:r>
        <w:rPr>
          <w:rFonts w:hint="eastAsia" w:asciiTheme="minorEastAsia" w:hAnsiTheme="minorEastAsia" w:eastAsiaTheme="minorEastAsia" w:cstheme="minorEastAsia"/>
          <w:bCs w:val="0"/>
          <w:color w:val="auto"/>
          <w:szCs w:val="22"/>
          <w:highlight w:val="none"/>
        </w:rPr>
        <w:fldChar w:fldCharType="end"/>
      </w:r>
    </w:p>
    <w:p w14:paraId="62F2B497">
      <w:pPr>
        <w:pStyle w:val="12"/>
        <w:rPr>
          <w:color w:val="auto"/>
          <w:highlight w:val="none"/>
        </w:rPr>
      </w:pPr>
    </w:p>
    <w:p w14:paraId="6EB0D989">
      <w:pPr>
        <w:spacing w:after="120" w:afterLines="50" w:line="360" w:lineRule="auto"/>
        <w:jc w:val="center"/>
        <w:outlineLvl w:val="0"/>
        <w:rPr>
          <w:rFonts w:hint="eastAsia" w:ascii="宋体" w:hAnsi="宋体"/>
          <w:b/>
          <w:color w:val="auto"/>
          <w:sz w:val="36"/>
          <w:szCs w:val="36"/>
          <w:highlight w:val="none"/>
        </w:rPr>
        <w:sectPr>
          <w:footerReference r:id="rId4" w:type="default"/>
          <w:pgSz w:w="11850" w:h="16783"/>
          <w:pgMar w:top="1134" w:right="1134" w:bottom="1134" w:left="1417" w:header="573" w:footer="584" w:gutter="0"/>
          <w:pgBorders>
            <w:top w:val="none" w:sz="0" w:space="0"/>
            <w:left w:val="none" w:sz="0" w:space="0"/>
            <w:bottom w:val="none" w:sz="0" w:space="0"/>
            <w:right w:val="none" w:sz="0" w:space="0"/>
          </w:pgBorders>
          <w:pgNumType w:fmt="decimal" w:start="1"/>
          <w:cols w:space="0" w:num="1"/>
          <w:rtlGutter w:val="0"/>
          <w:docGrid w:linePitch="0" w:charSpace="0"/>
        </w:sectPr>
      </w:pPr>
      <w:bookmarkStart w:id="1" w:name="_Toc7029"/>
      <w:bookmarkStart w:id="2" w:name="_Toc7755"/>
      <w:bookmarkStart w:id="3" w:name="_Toc13131"/>
    </w:p>
    <w:p w14:paraId="758786A7">
      <w:pPr>
        <w:spacing w:after="120" w:afterLines="50" w:line="360" w:lineRule="auto"/>
        <w:jc w:val="center"/>
        <w:outlineLvl w:val="0"/>
        <w:rPr>
          <w:rFonts w:hint="eastAsia" w:ascii="宋体" w:eastAsia="宋体"/>
          <w:b/>
          <w:color w:val="auto"/>
          <w:sz w:val="36"/>
          <w:szCs w:val="36"/>
          <w:highlight w:val="none"/>
          <w:lang w:eastAsia="zh-CN"/>
        </w:rPr>
      </w:pPr>
      <w:bookmarkStart w:id="4" w:name="_Toc4354"/>
      <w:r>
        <w:rPr>
          <w:rFonts w:hint="eastAsia" w:ascii="宋体" w:hAnsi="宋体"/>
          <w:b/>
          <w:color w:val="auto"/>
          <w:sz w:val="36"/>
          <w:szCs w:val="36"/>
          <w:highlight w:val="none"/>
        </w:rPr>
        <w:t>第一部分</w:t>
      </w:r>
      <w:bookmarkEnd w:id="0"/>
      <w:bookmarkEnd w:id="1"/>
      <w:bookmarkEnd w:id="2"/>
      <w:bookmarkEnd w:id="3"/>
      <w:r>
        <w:rPr>
          <w:rFonts w:hint="eastAsia" w:ascii="宋体" w:hAnsi="宋体"/>
          <w:b/>
          <w:color w:val="auto"/>
          <w:sz w:val="36"/>
          <w:szCs w:val="36"/>
          <w:highlight w:val="none"/>
          <w:lang w:val="en-US" w:eastAsia="zh-CN"/>
        </w:rPr>
        <w:t xml:space="preserve">  </w:t>
      </w:r>
      <w:r>
        <w:rPr>
          <w:rFonts w:hint="eastAsia" w:ascii="宋体" w:hAnsi="宋体"/>
          <w:b/>
          <w:color w:val="auto"/>
          <w:sz w:val="36"/>
          <w:szCs w:val="36"/>
          <w:highlight w:val="none"/>
          <w:lang w:eastAsia="zh-CN"/>
        </w:rPr>
        <w:t>竞投公告</w:t>
      </w:r>
      <w:bookmarkEnd w:id="4"/>
    </w:p>
    <w:p w14:paraId="4883BB06">
      <w:pPr>
        <w:autoSpaceDN w:val="0"/>
        <w:spacing w:line="360" w:lineRule="auto"/>
        <w:ind w:firstLine="180"/>
        <w:jc w:val="center"/>
        <w:rPr>
          <w:rFonts w:ascii="宋体" w:hAnsi="宋体"/>
          <w:b/>
          <w:bCs/>
          <w:color w:val="auto"/>
          <w:sz w:val="24"/>
          <w:highlight w:val="none"/>
        </w:rPr>
      </w:pPr>
      <w:r>
        <w:rPr>
          <w:rFonts w:hint="eastAsia" w:ascii="宋体" w:hAnsi="宋体"/>
          <w:b/>
          <w:bCs/>
          <w:color w:val="auto"/>
          <w:sz w:val="24"/>
          <w:highlight w:val="none"/>
        </w:rPr>
        <w:t>项目概况</w:t>
      </w:r>
    </w:p>
    <w:p w14:paraId="4F22A42C">
      <w:pPr>
        <w:autoSpaceDN w:val="0"/>
        <w:spacing w:line="360" w:lineRule="auto"/>
        <w:ind w:firstLine="480" w:firstLineChars="200"/>
        <w:jc w:val="left"/>
        <w:rPr>
          <w:rFonts w:ascii="宋体" w:hAnsi="宋体"/>
          <w:color w:val="auto"/>
          <w:sz w:val="24"/>
          <w:highlight w:val="none"/>
        </w:rPr>
      </w:pPr>
      <w:r>
        <w:rPr>
          <w:rFonts w:hint="eastAsia" w:ascii="宋体" w:hAnsi="宋体"/>
          <w:color w:val="auto"/>
          <w:sz w:val="24"/>
          <w:highlight w:val="none"/>
          <w:u w:val="single"/>
          <w:lang w:eastAsia="zh-CN"/>
        </w:rPr>
        <w:t>佛山市禅城区南庄镇吉利村邓岗经济合作社拟对吉利邓岗村停车停放进行管理，通过公开竞投确定中标人负责对吉利邓岗村车辆停放进行管理，</w:t>
      </w:r>
      <w:r>
        <w:rPr>
          <w:rFonts w:hint="eastAsia" w:ascii="宋体" w:hAnsi="宋体"/>
          <w:color w:val="auto"/>
          <w:sz w:val="24"/>
          <w:highlight w:val="none"/>
        </w:rPr>
        <w:t>潜在</w:t>
      </w:r>
      <w:r>
        <w:rPr>
          <w:rFonts w:hint="eastAsia" w:ascii="宋体" w:hAnsi="宋体"/>
          <w:color w:val="auto"/>
          <w:sz w:val="24"/>
          <w:highlight w:val="none"/>
          <w:lang w:eastAsia="zh-CN"/>
        </w:rPr>
        <w:t>投标人</w:t>
      </w:r>
      <w:r>
        <w:rPr>
          <w:rFonts w:hint="eastAsia" w:ascii="宋体" w:hAnsi="宋体"/>
          <w:color w:val="auto"/>
          <w:sz w:val="24"/>
          <w:highlight w:val="none"/>
        </w:rPr>
        <w:t>应在</w:t>
      </w:r>
      <w:r>
        <w:rPr>
          <w:rFonts w:hint="eastAsia" w:ascii="宋体" w:hAnsi="宋体" w:cs="宋体"/>
          <w:color w:val="auto"/>
          <w:sz w:val="24"/>
          <w:highlight w:val="none"/>
          <w:lang w:eastAsia="zh-CN"/>
        </w:rPr>
        <w:t>竞投</w:t>
      </w:r>
      <w:r>
        <w:rPr>
          <w:rFonts w:hint="eastAsia" w:ascii="宋体" w:hAnsi="宋体" w:cs="宋体"/>
          <w:color w:val="auto"/>
          <w:sz w:val="24"/>
          <w:highlight w:val="none"/>
        </w:rPr>
        <w:t>截止时间前登录</w:t>
      </w:r>
      <w:r>
        <w:rPr>
          <w:rFonts w:hint="eastAsia" w:ascii="宋体" w:hAnsi="宋体" w:cs="宋体"/>
          <w:color w:val="auto"/>
          <w:sz w:val="24"/>
          <w:highlight w:val="none"/>
          <w:lang w:eastAsia="zh-CN"/>
        </w:rPr>
        <w:t>招标代理</w:t>
      </w:r>
      <w:r>
        <w:rPr>
          <w:rFonts w:hint="eastAsia" w:ascii="宋体" w:hAnsi="宋体" w:cs="宋体"/>
          <w:color w:val="auto"/>
          <w:sz w:val="24"/>
          <w:highlight w:val="none"/>
        </w:rPr>
        <w:t>网下载</w:t>
      </w:r>
      <w:r>
        <w:rPr>
          <w:rFonts w:hint="eastAsia" w:ascii="宋体" w:hAnsi="宋体"/>
          <w:color w:val="auto"/>
          <w:sz w:val="24"/>
          <w:highlight w:val="none"/>
          <w:u w:val="single"/>
          <w:lang w:eastAsia="zh-CN"/>
        </w:rPr>
        <w:t>吉利邓岗村车辆停放管理服务公开竞投</w:t>
      </w:r>
      <w:r>
        <w:rPr>
          <w:rFonts w:hint="eastAsia" w:ascii="宋体" w:hAnsi="宋体" w:cs="宋体"/>
          <w:color w:val="auto"/>
          <w:sz w:val="24"/>
          <w:highlight w:val="none"/>
        </w:rPr>
        <w:t>文件</w:t>
      </w:r>
      <w:r>
        <w:rPr>
          <w:rFonts w:hint="eastAsia" w:ascii="宋体" w:hAnsi="宋体"/>
          <w:color w:val="auto"/>
          <w:sz w:val="24"/>
          <w:highlight w:val="none"/>
        </w:rPr>
        <w:t>，并于</w:t>
      </w:r>
      <w:r>
        <w:rPr>
          <w:rFonts w:hint="eastAsia" w:ascii="宋体" w:hAnsi="宋体"/>
          <w:color w:val="auto"/>
          <w:sz w:val="24"/>
          <w:highlight w:val="none"/>
          <w:lang w:eastAsia="zh-CN"/>
        </w:rPr>
        <w:t>2024年</w:t>
      </w:r>
      <w:r>
        <w:rPr>
          <w:rFonts w:hint="eastAsia" w:ascii="宋体" w:hAnsi="宋体"/>
          <w:color w:val="auto"/>
          <w:sz w:val="24"/>
          <w:highlight w:val="none"/>
          <w:lang w:val="en-US" w:eastAsia="zh-CN"/>
        </w:rPr>
        <w:t>11</w:t>
      </w:r>
      <w:r>
        <w:rPr>
          <w:rFonts w:hint="eastAsia" w:ascii="宋体" w:hAnsi="宋体"/>
          <w:color w:val="auto"/>
          <w:sz w:val="24"/>
          <w:highlight w:val="none"/>
          <w:u w:val="none"/>
          <w:lang w:val="en-US" w:eastAsia="zh-CN"/>
        </w:rPr>
        <w:t>月27日9</w:t>
      </w:r>
      <w:r>
        <w:rPr>
          <w:rFonts w:hint="eastAsia" w:ascii="宋体" w:hAnsi="宋体"/>
          <w:color w:val="auto"/>
          <w:sz w:val="24"/>
          <w:highlight w:val="none"/>
          <w:u w:val="none"/>
        </w:rPr>
        <w:t>点</w:t>
      </w:r>
      <w:r>
        <w:rPr>
          <w:rFonts w:hint="eastAsia" w:ascii="宋体" w:hAnsi="宋体"/>
          <w:color w:val="auto"/>
          <w:sz w:val="24"/>
          <w:highlight w:val="none"/>
          <w:u w:val="none"/>
          <w:lang w:val="en-US" w:eastAsia="zh-CN"/>
        </w:rPr>
        <w:t>30</w:t>
      </w:r>
      <w:r>
        <w:rPr>
          <w:rFonts w:hint="eastAsia" w:ascii="宋体" w:hAnsi="宋体"/>
          <w:color w:val="auto"/>
          <w:sz w:val="24"/>
          <w:highlight w:val="none"/>
          <w:u w:val="none"/>
        </w:rPr>
        <w:t>分</w:t>
      </w:r>
      <w:r>
        <w:rPr>
          <w:rFonts w:hint="eastAsia" w:ascii="宋体" w:hAnsi="宋体"/>
          <w:color w:val="auto"/>
          <w:sz w:val="24"/>
          <w:highlight w:val="none"/>
        </w:rPr>
        <w:t>（北京时间）前递交</w:t>
      </w:r>
      <w:r>
        <w:rPr>
          <w:rFonts w:hint="eastAsia" w:ascii="宋体" w:hAnsi="宋体"/>
          <w:color w:val="auto"/>
          <w:sz w:val="24"/>
          <w:highlight w:val="none"/>
          <w:lang w:eastAsia="zh-CN"/>
        </w:rPr>
        <w:t>资格审查</w:t>
      </w:r>
      <w:r>
        <w:rPr>
          <w:rFonts w:hint="eastAsia" w:ascii="宋体" w:hAnsi="宋体"/>
          <w:color w:val="auto"/>
          <w:sz w:val="24"/>
          <w:highlight w:val="none"/>
        </w:rPr>
        <w:t>文件</w:t>
      </w:r>
      <w:r>
        <w:rPr>
          <w:rFonts w:hint="eastAsia" w:ascii="宋体" w:hAnsi="宋体"/>
          <w:color w:val="auto"/>
          <w:sz w:val="24"/>
          <w:highlight w:val="none"/>
          <w:lang w:eastAsia="zh-CN"/>
        </w:rPr>
        <w:t>，经资格审查合格后参加竞投</w:t>
      </w:r>
      <w:r>
        <w:rPr>
          <w:rFonts w:hint="eastAsia" w:ascii="宋体" w:hAnsi="宋体"/>
          <w:color w:val="auto"/>
          <w:sz w:val="24"/>
          <w:highlight w:val="none"/>
        </w:rPr>
        <w:t>。</w:t>
      </w:r>
    </w:p>
    <w:p w14:paraId="434A580C">
      <w:pPr>
        <w:numPr>
          <w:ilvl w:val="0"/>
          <w:numId w:val="2"/>
        </w:numPr>
        <w:tabs>
          <w:tab w:val="left" w:pos="426"/>
        </w:tabs>
        <w:autoSpaceDE w:val="0"/>
        <w:autoSpaceDN w:val="0"/>
        <w:adjustRightInd w:val="0"/>
        <w:snapToGrid w:val="0"/>
        <w:spacing w:line="360" w:lineRule="auto"/>
        <w:ind w:left="0" w:leftChars="0" w:firstLine="0" w:firstLineChars="0"/>
        <w:rPr>
          <w:rFonts w:ascii="宋体" w:hAnsi="宋体" w:cs="宋体"/>
          <w:b/>
          <w:bCs/>
          <w:color w:val="auto"/>
          <w:sz w:val="24"/>
          <w:highlight w:val="none"/>
        </w:rPr>
      </w:pPr>
      <w:r>
        <w:rPr>
          <w:rFonts w:hint="eastAsia" w:ascii="宋体" w:hAnsi="宋体" w:cs="宋体"/>
          <w:b/>
          <w:bCs/>
          <w:color w:val="auto"/>
          <w:sz w:val="24"/>
          <w:highlight w:val="none"/>
        </w:rPr>
        <w:t>项目基本情况</w:t>
      </w:r>
    </w:p>
    <w:p w14:paraId="245ABF63">
      <w:pPr>
        <w:autoSpaceDN w:val="0"/>
        <w:spacing w:line="360" w:lineRule="auto"/>
        <w:ind w:firstLine="480" w:firstLineChars="200"/>
        <w:jc w:val="left"/>
        <w:rPr>
          <w:rFonts w:hint="eastAsia" w:ascii="宋体" w:hAnsi="宋体" w:eastAsia="宋体"/>
          <w:color w:val="auto"/>
          <w:sz w:val="24"/>
          <w:highlight w:val="none"/>
          <w:lang w:eastAsia="zh-CN"/>
        </w:rPr>
      </w:pPr>
      <w:r>
        <w:rPr>
          <w:rFonts w:hint="eastAsia" w:ascii="宋体" w:hAnsi="宋体"/>
          <w:color w:val="auto"/>
          <w:sz w:val="24"/>
          <w:highlight w:val="none"/>
        </w:rPr>
        <w:t>项目名称：</w:t>
      </w:r>
      <w:r>
        <w:rPr>
          <w:rFonts w:hint="eastAsia" w:ascii="宋体" w:hAnsi="宋体"/>
          <w:color w:val="auto"/>
          <w:sz w:val="24"/>
          <w:highlight w:val="none"/>
          <w:lang w:eastAsia="zh-CN"/>
        </w:rPr>
        <w:t>吉利邓岗村车辆停放管理服务</w:t>
      </w:r>
    </w:p>
    <w:p w14:paraId="2DC47179">
      <w:pPr>
        <w:autoSpaceDN w:val="0"/>
        <w:spacing w:line="360" w:lineRule="auto"/>
        <w:ind w:firstLine="480" w:firstLineChars="200"/>
        <w:jc w:val="left"/>
        <w:rPr>
          <w:color w:val="auto"/>
          <w:highlight w:val="none"/>
        </w:rPr>
      </w:pPr>
      <w:r>
        <w:rPr>
          <w:rFonts w:hint="eastAsia" w:ascii="宋体" w:hAnsi="宋体"/>
          <w:color w:val="auto"/>
          <w:sz w:val="24"/>
          <w:highlight w:val="none"/>
        </w:rPr>
        <w:t>最低限价：</w:t>
      </w:r>
      <w:r>
        <w:rPr>
          <w:rFonts w:hint="eastAsia" w:ascii="宋体" w:hAnsi="宋体"/>
          <w:color w:val="auto"/>
          <w:sz w:val="24"/>
          <w:highlight w:val="none"/>
          <w:lang w:val="en-US" w:eastAsia="zh-CN"/>
        </w:rPr>
        <w:t>首年150,000.00元/年（不含税），由中标人向招标人支付。</w:t>
      </w:r>
    </w:p>
    <w:p w14:paraId="74660A6A">
      <w:pPr>
        <w:autoSpaceDN w:val="0"/>
        <w:spacing w:line="360" w:lineRule="auto"/>
        <w:ind w:firstLine="480" w:firstLineChars="200"/>
        <w:jc w:val="left"/>
        <w:rPr>
          <w:rFonts w:ascii="宋体" w:hAnsi="宋体"/>
          <w:color w:val="auto"/>
          <w:sz w:val="24"/>
          <w:highlight w:val="none"/>
        </w:rPr>
      </w:pPr>
      <w:r>
        <w:rPr>
          <w:rFonts w:hint="eastAsia" w:ascii="宋体" w:hAnsi="宋体"/>
          <w:color w:val="auto"/>
          <w:sz w:val="24"/>
          <w:highlight w:val="none"/>
          <w:lang w:eastAsia="zh-CN"/>
        </w:rPr>
        <w:t>项目</w:t>
      </w:r>
      <w:r>
        <w:rPr>
          <w:rFonts w:hint="eastAsia" w:ascii="宋体" w:hAnsi="宋体"/>
          <w:color w:val="auto"/>
          <w:sz w:val="24"/>
          <w:highlight w:val="none"/>
        </w:rPr>
        <w:t>需求</w:t>
      </w:r>
      <w:r>
        <w:rPr>
          <w:rFonts w:hint="eastAsia" w:ascii="宋体" w:hAnsi="宋体" w:cs="宋体"/>
          <w:color w:val="auto"/>
          <w:sz w:val="24"/>
          <w:highlight w:val="none"/>
        </w:rPr>
        <w:t>（包括但不限于标的名称、数量、简要技术需求或服务要求等）</w:t>
      </w:r>
      <w:r>
        <w:rPr>
          <w:rFonts w:hint="eastAsia" w:ascii="宋体" w:hAnsi="宋体"/>
          <w:color w:val="auto"/>
          <w:sz w:val="24"/>
          <w:highlight w:val="none"/>
        </w:rPr>
        <w:t>：</w:t>
      </w:r>
    </w:p>
    <w:p w14:paraId="5CF66A69">
      <w:pPr>
        <w:numPr>
          <w:ilvl w:val="0"/>
          <w:numId w:val="3"/>
        </w:numPr>
        <w:autoSpaceDN w:val="0"/>
        <w:spacing w:line="360" w:lineRule="auto"/>
        <w:ind w:left="425" w:leftChars="0" w:hanging="5" w:firstLineChars="0"/>
        <w:jc w:val="left"/>
        <w:rPr>
          <w:rFonts w:hint="eastAsia" w:ascii="宋体" w:hAnsi="宋体" w:eastAsia="宋体"/>
          <w:color w:val="auto"/>
          <w:sz w:val="24"/>
          <w:highlight w:val="none"/>
          <w:lang w:eastAsia="zh-CN"/>
        </w:rPr>
      </w:pPr>
      <w:r>
        <w:rPr>
          <w:rFonts w:hint="eastAsia" w:ascii="宋体" w:hAnsi="宋体"/>
          <w:color w:val="auto"/>
          <w:sz w:val="24"/>
          <w:highlight w:val="none"/>
        </w:rPr>
        <w:t>标的名称：</w:t>
      </w:r>
      <w:r>
        <w:rPr>
          <w:rFonts w:hint="eastAsia" w:ascii="宋体" w:hAnsi="宋体"/>
          <w:color w:val="auto"/>
          <w:sz w:val="24"/>
          <w:highlight w:val="none"/>
          <w:lang w:eastAsia="zh-CN"/>
        </w:rPr>
        <w:t>吉利邓岗村车辆停放管理服务</w:t>
      </w:r>
    </w:p>
    <w:p w14:paraId="2F2C33E5">
      <w:pPr>
        <w:numPr>
          <w:ilvl w:val="0"/>
          <w:numId w:val="3"/>
        </w:numPr>
        <w:autoSpaceDN w:val="0"/>
        <w:spacing w:line="360" w:lineRule="auto"/>
        <w:ind w:left="425" w:leftChars="0" w:hanging="5" w:firstLineChars="0"/>
        <w:jc w:val="left"/>
        <w:rPr>
          <w:rFonts w:hint="eastAsia" w:ascii="宋体" w:hAnsi="宋体"/>
          <w:color w:val="auto"/>
          <w:sz w:val="24"/>
          <w:highlight w:val="none"/>
        </w:rPr>
      </w:pPr>
      <w:r>
        <w:rPr>
          <w:rFonts w:hint="eastAsia" w:ascii="宋体" w:hAnsi="宋体"/>
          <w:color w:val="auto"/>
          <w:sz w:val="24"/>
          <w:highlight w:val="none"/>
        </w:rPr>
        <w:t>数量：1项</w:t>
      </w:r>
    </w:p>
    <w:p w14:paraId="7597F7EC">
      <w:pPr>
        <w:numPr>
          <w:ilvl w:val="0"/>
          <w:numId w:val="3"/>
        </w:numPr>
        <w:tabs>
          <w:tab w:val="left" w:pos="426"/>
        </w:tabs>
        <w:autoSpaceDE w:val="0"/>
        <w:autoSpaceDN w:val="0"/>
        <w:adjustRightInd w:val="0"/>
        <w:snapToGrid w:val="0"/>
        <w:spacing w:line="360" w:lineRule="auto"/>
        <w:ind w:left="425" w:leftChars="0" w:hanging="5" w:firstLineChars="0"/>
        <w:rPr>
          <w:rFonts w:hint="eastAsia" w:ascii="宋体" w:hAnsi="宋体" w:cs="宋体"/>
          <w:color w:val="auto"/>
          <w:sz w:val="24"/>
          <w:highlight w:val="none"/>
        </w:rPr>
      </w:pPr>
      <w:r>
        <w:rPr>
          <w:rFonts w:hint="eastAsia" w:ascii="宋体" w:hAnsi="宋体" w:cs="宋体"/>
          <w:color w:val="auto"/>
          <w:sz w:val="24"/>
          <w:highlight w:val="none"/>
        </w:rPr>
        <w:t>简要技术需求或服务要求：</w:t>
      </w:r>
    </w:p>
    <w:tbl>
      <w:tblPr>
        <w:tblStyle w:val="20"/>
        <w:tblW w:w="9704"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3429"/>
        <w:gridCol w:w="915"/>
        <w:gridCol w:w="5360"/>
      </w:tblGrid>
      <w:tr w14:paraId="2008417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90" w:hRule="atLeast"/>
          <w:jc w:val="center"/>
        </w:trPr>
        <w:tc>
          <w:tcPr>
            <w:tcW w:w="3429" w:type="dxa"/>
            <w:tcBorders>
              <w:tl2br w:val="nil"/>
              <w:tr2bl w:val="nil"/>
            </w:tcBorders>
            <w:noWrap w:val="0"/>
            <w:vAlign w:val="center"/>
          </w:tcPr>
          <w:p w14:paraId="53CE49A9">
            <w:pPr>
              <w:pStyle w:val="18"/>
              <w:ind w:firstLine="0" w:firstLineChars="0"/>
              <w:jc w:val="center"/>
              <w:rPr>
                <w:rFonts w:hint="eastAsia" w:asciiTheme="minorEastAsia" w:hAnsiTheme="minorEastAsia" w:eastAsiaTheme="minorEastAsia" w:cstheme="minorEastAsia"/>
                <w:b/>
                <w:bCs/>
                <w:color w:val="auto"/>
                <w:sz w:val="24"/>
                <w:highlight w:val="none"/>
              </w:rPr>
            </w:pPr>
            <w:r>
              <w:rPr>
                <w:rFonts w:hint="eastAsia" w:asciiTheme="minorEastAsia" w:hAnsiTheme="minorEastAsia" w:eastAsiaTheme="minorEastAsia" w:cstheme="minorEastAsia"/>
                <w:b/>
                <w:bCs/>
                <w:color w:val="auto"/>
                <w:sz w:val="24"/>
                <w:highlight w:val="none"/>
              </w:rPr>
              <w:t>采购内容</w:t>
            </w:r>
          </w:p>
        </w:tc>
        <w:tc>
          <w:tcPr>
            <w:tcW w:w="915" w:type="dxa"/>
            <w:tcBorders>
              <w:tl2br w:val="nil"/>
              <w:tr2bl w:val="nil"/>
            </w:tcBorders>
            <w:noWrap w:val="0"/>
            <w:vAlign w:val="center"/>
          </w:tcPr>
          <w:p w14:paraId="445D433A">
            <w:pPr>
              <w:pStyle w:val="18"/>
              <w:ind w:firstLine="0" w:firstLineChars="0"/>
              <w:jc w:val="center"/>
              <w:rPr>
                <w:rFonts w:hint="eastAsia" w:asciiTheme="minorEastAsia" w:hAnsiTheme="minorEastAsia" w:eastAsiaTheme="minorEastAsia" w:cstheme="minorEastAsia"/>
                <w:color w:val="auto"/>
                <w:sz w:val="24"/>
                <w:highlight w:val="none"/>
                <w:lang w:val="en-US" w:eastAsia="zh-CN"/>
              </w:rPr>
            </w:pPr>
            <w:r>
              <w:rPr>
                <w:rFonts w:hint="eastAsia" w:asciiTheme="minorEastAsia" w:hAnsiTheme="minorEastAsia" w:eastAsiaTheme="minorEastAsia" w:cstheme="minorEastAsia"/>
                <w:b/>
                <w:bCs/>
                <w:color w:val="auto"/>
                <w:kern w:val="2"/>
                <w:sz w:val="24"/>
                <w:szCs w:val="24"/>
                <w:highlight w:val="none"/>
                <w:lang w:val="en-US" w:eastAsia="zh-CN" w:bidi="ar-SA"/>
              </w:rPr>
              <w:t>数量</w:t>
            </w:r>
          </w:p>
        </w:tc>
        <w:tc>
          <w:tcPr>
            <w:tcW w:w="5360" w:type="dxa"/>
            <w:tcBorders>
              <w:tl2br w:val="nil"/>
              <w:tr2bl w:val="nil"/>
            </w:tcBorders>
            <w:noWrap w:val="0"/>
            <w:vAlign w:val="center"/>
          </w:tcPr>
          <w:p w14:paraId="1C1710A2">
            <w:pPr>
              <w:pStyle w:val="18"/>
              <w:ind w:firstLine="0" w:firstLineChars="0"/>
              <w:jc w:val="center"/>
              <w:rPr>
                <w:rFonts w:hint="eastAsia" w:asciiTheme="minorEastAsia" w:hAnsiTheme="minorEastAsia" w:eastAsiaTheme="minorEastAsia" w:cstheme="minorEastAsia"/>
                <w:b/>
                <w:bCs/>
                <w:color w:val="auto"/>
                <w:sz w:val="24"/>
                <w:highlight w:val="none"/>
                <w:lang w:val="en-US" w:eastAsia="zh-CN"/>
              </w:rPr>
            </w:pPr>
            <w:r>
              <w:rPr>
                <w:rFonts w:hint="eastAsia" w:asciiTheme="minorEastAsia" w:hAnsiTheme="minorEastAsia" w:eastAsiaTheme="minorEastAsia" w:cstheme="minorEastAsia"/>
                <w:b/>
                <w:bCs/>
                <w:color w:val="auto"/>
                <w:sz w:val="24"/>
                <w:highlight w:val="none"/>
              </w:rPr>
              <w:t>最低限价</w:t>
            </w:r>
            <w:r>
              <w:rPr>
                <w:rFonts w:hint="eastAsia" w:asciiTheme="minorEastAsia" w:hAnsiTheme="minorEastAsia" w:eastAsiaTheme="minorEastAsia" w:cstheme="minorEastAsia"/>
                <w:b/>
                <w:bCs/>
                <w:color w:val="auto"/>
                <w:sz w:val="24"/>
                <w:highlight w:val="none"/>
                <w:lang w:val="en-US" w:eastAsia="zh-CN"/>
              </w:rPr>
              <w:t>（元）</w:t>
            </w:r>
          </w:p>
        </w:tc>
      </w:tr>
      <w:tr w14:paraId="75BE03B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313" w:hRule="atLeast"/>
          <w:jc w:val="center"/>
        </w:trPr>
        <w:tc>
          <w:tcPr>
            <w:tcW w:w="3429" w:type="dxa"/>
            <w:tcBorders>
              <w:tl2br w:val="nil"/>
              <w:tr2bl w:val="nil"/>
            </w:tcBorders>
            <w:noWrap w:val="0"/>
            <w:vAlign w:val="center"/>
          </w:tcPr>
          <w:p w14:paraId="5A59758B">
            <w:pPr>
              <w:spacing w:line="360" w:lineRule="auto"/>
              <w:jc w:val="center"/>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lang w:eastAsia="zh-CN"/>
              </w:rPr>
              <w:t>吉利邓岗村车辆停放管理服务</w:t>
            </w:r>
          </w:p>
        </w:tc>
        <w:tc>
          <w:tcPr>
            <w:tcW w:w="915" w:type="dxa"/>
            <w:tcBorders>
              <w:tl2br w:val="nil"/>
              <w:tr2bl w:val="nil"/>
            </w:tcBorders>
            <w:noWrap w:val="0"/>
            <w:vAlign w:val="center"/>
          </w:tcPr>
          <w:p w14:paraId="2D13045A">
            <w:pPr>
              <w:spacing w:after="72" w:afterLines="30" w:line="360" w:lineRule="auto"/>
              <w:jc w:val="center"/>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1项</w:t>
            </w:r>
          </w:p>
        </w:tc>
        <w:tc>
          <w:tcPr>
            <w:tcW w:w="5360" w:type="dxa"/>
            <w:tcBorders>
              <w:tl2br w:val="nil"/>
              <w:tr2bl w:val="nil"/>
            </w:tcBorders>
            <w:noWrap w:val="0"/>
            <w:vAlign w:val="center"/>
          </w:tcPr>
          <w:p w14:paraId="29418A99">
            <w:pPr>
              <w:pStyle w:val="3"/>
              <w:spacing w:before="0" w:after="0" w:line="240" w:lineRule="auto"/>
              <w:jc w:val="both"/>
              <w:rPr>
                <w:rFonts w:hint="eastAsia" w:asciiTheme="minorEastAsia" w:hAnsiTheme="minorEastAsia" w:eastAsiaTheme="minorEastAsia" w:cstheme="minorEastAsia"/>
                <w:color w:val="auto"/>
                <w:sz w:val="24"/>
                <w:szCs w:val="24"/>
                <w:highlight w:val="none"/>
                <w:lang w:val="en-US" w:eastAsia="zh-CN"/>
              </w:rPr>
            </w:pPr>
            <w:bookmarkStart w:id="5" w:name="_Toc2683"/>
            <w:r>
              <w:rPr>
                <w:rFonts w:hint="eastAsia" w:asciiTheme="minorEastAsia" w:hAnsiTheme="minorEastAsia" w:eastAsiaTheme="minorEastAsia" w:cstheme="minorEastAsia"/>
                <w:color w:val="auto"/>
                <w:sz w:val="24"/>
                <w:szCs w:val="24"/>
                <w:highlight w:val="none"/>
                <w:lang w:val="en-US" w:eastAsia="zh-CN"/>
              </w:rPr>
              <w:t>首年150,000.00元/年（不含税）</w:t>
            </w:r>
            <w:bookmarkEnd w:id="5"/>
            <w:r>
              <w:rPr>
                <w:rFonts w:hint="eastAsia" w:ascii="宋体" w:hAnsi="宋体"/>
                <w:color w:val="auto"/>
                <w:sz w:val="24"/>
                <w:highlight w:val="none"/>
                <w:lang w:val="en-US" w:eastAsia="zh-CN"/>
              </w:rPr>
              <w:t>。</w:t>
            </w:r>
          </w:p>
          <w:p w14:paraId="489E3A58">
            <w:pPr>
              <w:pStyle w:val="3"/>
              <w:spacing w:before="0" w:after="0" w:line="240" w:lineRule="auto"/>
              <w:rPr>
                <w:rFonts w:hint="eastAsia" w:asciiTheme="minorEastAsia" w:hAnsiTheme="minorEastAsia" w:eastAsiaTheme="minorEastAsia" w:cstheme="minorEastAsia"/>
                <w:color w:val="auto"/>
                <w:sz w:val="24"/>
                <w:szCs w:val="24"/>
                <w:highlight w:val="none"/>
              </w:rPr>
            </w:pPr>
            <w:bookmarkStart w:id="6" w:name="_Toc31748"/>
            <w:bookmarkStart w:id="7" w:name="_Toc22804"/>
            <w:r>
              <w:rPr>
                <w:rFonts w:hint="eastAsia" w:asciiTheme="minorEastAsia" w:hAnsiTheme="minorEastAsia" w:eastAsiaTheme="minorEastAsia" w:cstheme="minorEastAsia"/>
                <w:color w:val="auto"/>
                <w:sz w:val="24"/>
                <w:szCs w:val="24"/>
                <w:highlight w:val="none"/>
              </w:rPr>
              <w:t>说明：</w:t>
            </w:r>
            <w:bookmarkEnd w:id="6"/>
            <w:bookmarkEnd w:id="7"/>
          </w:p>
          <w:p w14:paraId="12198C95">
            <w:pPr>
              <w:pStyle w:val="3"/>
              <w:spacing w:before="0" w:after="0" w:line="240" w:lineRule="auto"/>
              <w:rPr>
                <w:rFonts w:hint="eastAsia" w:asciiTheme="minorEastAsia" w:hAnsiTheme="minorEastAsia" w:eastAsiaTheme="minorEastAsia" w:cstheme="minorEastAsia"/>
                <w:b/>
                <w:bCs/>
                <w:color w:val="auto"/>
                <w:sz w:val="24"/>
                <w:szCs w:val="24"/>
                <w:highlight w:val="none"/>
              </w:rPr>
            </w:pPr>
            <w:bookmarkStart w:id="8" w:name="_Toc13636"/>
            <w:bookmarkStart w:id="9" w:name="_Toc24175"/>
            <w:r>
              <w:rPr>
                <w:rFonts w:hint="eastAsia" w:asciiTheme="minorEastAsia" w:hAnsiTheme="minorEastAsia" w:eastAsiaTheme="minorEastAsia" w:cstheme="minorEastAsia"/>
                <w:b/>
                <w:bCs/>
                <w:color w:val="auto"/>
                <w:sz w:val="24"/>
                <w:szCs w:val="24"/>
                <w:highlight w:val="none"/>
              </w:rPr>
              <w:t>1.</w:t>
            </w:r>
            <w:r>
              <w:rPr>
                <w:rFonts w:hint="eastAsia" w:asciiTheme="minorEastAsia" w:hAnsiTheme="minorEastAsia" w:eastAsiaTheme="minorEastAsia" w:cstheme="minorEastAsia"/>
                <w:b/>
                <w:bCs/>
                <w:color w:val="auto"/>
                <w:sz w:val="24"/>
                <w:szCs w:val="24"/>
                <w:highlight w:val="none"/>
                <w:lang w:eastAsia="zh-CN"/>
              </w:rPr>
              <w:t>招标人</w:t>
            </w:r>
            <w:r>
              <w:rPr>
                <w:rFonts w:hint="eastAsia" w:asciiTheme="minorEastAsia" w:hAnsiTheme="minorEastAsia" w:eastAsiaTheme="minorEastAsia" w:cstheme="minorEastAsia"/>
                <w:b/>
                <w:bCs/>
                <w:color w:val="auto"/>
                <w:sz w:val="24"/>
                <w:szCs w:val="24"/>
                <w:highlight w:val="none"/>
              </w:rPr>
              <w:t>将</w:t>
            </w:r>
            <w:r>
              <w:rPr>
                <w:rFonts w:hint="eastAsia" w:asciiTheme="minorEastAsia" w:hAnsiTheme="minorEastAsia" w:eastAsiaTheme="minorEastAsia" w:cstheme="minorEastAsia"/>
                <w:b/>
                <w:bCs/>
                <w:color w:val="auto"/>
                <w:sz w:val="24"/>
                <w:szCs w:val="24"/>
                <w:highlight w:val="none"/>
                <w:lang w:eastAsia="zh-CN"/>
              </w:rPr>
              <w:t>吉利邓岗村车辆停放管理</w:t>
            </w:r>
            <w:r>
              <w:rPr>
                <w:rFonts w:hint="eastAsia" w:asciiTheme="minorEastAsia" w:hAnsiTheme="minorEastAsia" w:eastAsiaTheme="minorEastAsia" w:cstheme="minorEastAsia"/>
                <w:b/>
                <w:bCs/>
                <w:color w:val="auto"/>
                <w:sz w:val="24"/>
                <w:szCs w:val="24"/>
                <w:highlight w:val="none"/>
              </w:rPr>
              <w:t>交由中标人进行</w:t>
            </w:r>
            <w:r>
              <w:rPr>
                <w:rFonts w:hint="eastAsia" w:asciiTheme="minorEastAsia" w:hAnsiTheme="minorEastAsia" w:eastAsiaTheme="minorEastAsia" w:cstheme="minorEastAsia"/>
                <w:b/>
                <w:bCs/>
                <w:color w:val="auto"/>
                <w:sz w:val="24"/>
                <w:szCs w:val="24"/>
                <w:highlight w:val="none"/>
                <w:lang w:eastAsia="zh-CN"/>
              </w:rPr>
              <w:t>管理</w:t>
            </w:r>
            <w:r>
              <w:rPr>
                <w:rFonts w:hint="eastAsia" w:asciiTheme="minorEastAsia" w:hAnsiTheme="minorEastAsia" w:eastAsiaTheme="minorEastAsia" w:cstheme="minorEastAsia"/>
                <w:b/>
                <w:bCs/>
                <w:color w:val="auto"/>
                <w:sz w:val="24"/>
                <w:szCs w:val="24"/>
                <w:highlight w:val="none"/>
              </w:rPr>
              <w:t>，中标人按中标价向</w:t>
            </w:r>
            <w:r>
              <w:rPr>
                <w:rFonts w:hint="eastAsia" w:asciiTheme="minorEastAsia" w:hAnsiTheme="minorEastAsia" w:eastAsiaTheme="minorEastAsia" w:cstheme="minorEastAsia"/>
                <w:b/>
                <w:bCs/>
                <w:color w:val="auto"/>
                <w:sz w:val="24"/>
                <w:szCs w:val="24"/>
                <w:highlight w:val="none"/>
                <w:lang w:eastAsia="zh-CN"/>
              </w:rPr>
              <w:t>招标人</w:t>
            </w:r>
            <w:r>
              <w:rPr>
                <w:rFonts w:hint="eastAsia" w:asciiTheme="minorEastAsia" w:hAnsiTheme="minorEastAsia" w:eastAsiaTheme="minorEastAsia" w:cstheme="minorEastAsia"/>
                <w:b/>
                <w:bCs/>
                <w:color w:val="auto"/>
                <w:sz w:val="24"/>
                <w:szCs w:val="24"/>
                <w:highlight w:val="none"/>
              </w:rPr>
              <w:t>支付相关</w:t>
            </w:r>
            <w:r>
              <w:rPr>
                <w:rFonts w:hint="eastAsia" w:asciiTheme="minorEastAsia" w:hAnsiTheme="minorEastAsia" w:eastAsiaTheme="minorEastAsia" w:cstheme="minorEastAsia"/>
                <w:b/>
                <w:bCs/>
                <w:color w:val="auto"/>
                <w:sz w:val="24"/>
                <w:szCs w:val="24"/>
                <w:highlight w:val="none"/>
                <w:lang w:eastAsia="zh-CN"/>
              </w:rPr>
              <w:t>费用</w:t>
            </w:r>
            <w:r>
              <w:rPr>
                <w:rFonts w:hint="eastAsia" w:asciiTheme="minorEastAsia" w:hAnsiTheme="minorEastAsia" w:eastAsiaTheme="minorEastAsia" w:cstheme="minorEastAsia"/>
                <w:b/>
                <w:bCs/>
                <w:color w:val="auto"/>
                <w:sz w:val="24"/>
                <w:szCs w:val="24"/>
                <w:highlight w:val="none"/>
              </w:rPr>
              <w:t>；</w:t>
            </w:r>
            <w:bookmarkEnd w:id="8"/>
            <w:bookmarkEnd w:id="9"/>
          </w:p>
          <w:p w14:paraId="353C7D36">
            <w:pPr>
              <w:pStyle w:val="12"/>
              <w:rPr>
                <w:rFonts w:hint="eastAsia" w:asciiTheme="minorEastAsia" w:hAnsiTheme="minorEastAsia" w:eastAsiaTheme="minorEastAsia" w:cstheme="minorEastAsia"/>
                <w:color w:val="auto"/>
                <w:highlight w:val="none"/>
              </w:rPr>
            </w:pPr>
            <w:bookmarkStart w:id="10" w:name="_Toc22463"/>
            <w:r>
              <w:rPr>
                <w:rFonts w:hint="eastAsia" w:asciiTheme="minorEastAsia" w:hAnsiTheme="minorEastAsia" w:eastAsiaTheme="minorEastAsia" w:cstheme="minorEastAsia"/>
                <w:b/>
                <w:bCs/>
                <w:color w:val="auto"/>
                <w:sz w:val="24"/>
                <w:szCs w:val="24"/>
                <w:highlight w:val="none"/>
              </w:rPr>
              <w:t>2.中标人按</w:t>
            </w:r>
            <w:r>
              <w:rPr>
                <w:rFonts w:hint="eastAsia" w:asciiTheme="minorEastAsia" w:hAnsiTheme="minorEastAsia" w:eastAsiaTheme="minorEastAsia" w:cstheme="minorEastAsia"/>
                <w:b/>
                <w:bCs/>
                <w:color w:val="auto"/>
                <w:sz w:val="24"/>
                <w:szCs w:val="24"/>
                <w:highlight w:val="none"/>
                <w:lang w:eastAsia="zh-CN"/>
              </w:rPr>
              <w:t>招标人</w:t>
            </w:r>
            <w:r>
              <w:rPr>
                <w:rFonts w:hint="eastAsia" w:asciiTheme="minorEastAsia" w:hAnsiTheme="minorEastAsia" w:eastAsiaTheme="minorEastAsia" w:cstheme="minorEastAsia"/>
                <w:b/>
                <w:bCs/>
                <w:color w:val="auto"/>
                <w:sz w:val="24"/>
                <w:szCs w:val="24"/>
                <w:highlight w:val="none"/>
              </w:rPr>
              <w:t>的要求进行</w:t>
            </w:r>
            <w:r>
              <w:rPr>
                <w:rFonts w:hint="eastAsia" w:asciiTheme="minorEastAsia" w:hAnsiTheme="minorEastAsia" w:eastAsiaTheme="minorEastAsia" w:cstheme="minorEastAsia"/>
                <w:b/>
                <w:bCs/>
                <w:color w:val="auto"/>
                <w:sz w:val="24"/>
                <w:szCs w:val="24"/>
                <w:highlight w:val="none"/>
                <w:lang w:eastAsia="zh-CN"/>
              </w:rPr>
              <w:t>管理</w:t>
            </w:r>
            <w:r>
              <w:rPr>
                <w:rFonts w:hint="eastAsia" w:asciiTheme="minorEastAsia" w:hAnsiTheme="minorEastAsia" w:eastAsiaTheme="minorEastAsia" w:cstheme="minorEastAsia"/>
                <w:b/>
                <w:bCs/>
                <w:color w:val="auto"/>
                <w:sz w:val="24"/>
                <w:szCs w:val="24"/>
                <w:highlight w:val="none"/>
              </w:rPr>
              <w:t>，</w:t>
            </w:r>
            <w:r>
              <w:rPr>
                <w:rFonts w:hint="eastAsia" w:asciiTheme="minorEastAsia" w:hAnsiTheme="minorEastAsia" w:eastAsiaTheme="minorEastAsia" w:cstheme="minorEastAsia"/>
                <w:b/>
                <w:bCs/>
                <w:color w:val="auto"/>
                <w:sz w:val="24"/>
                <w:szCs w:val="24"/>
                <w:highlight w:val="none"/>
                <w:lang w:eastAsia="zh-CN"/>
              </w:rPr>
              <w:t>严格按照市、区、相关文件要求进行备案、收费、管理</w:t>
            </w:r>
            <w:bookmarkEnd w:id="10"/>
            <w:r>
              <w:rPr>
                <w:rFonts w:hint="eastAsia" w:asciiTheme="minorEastAsia" w:hAnsiTheme="minorEastAsia" w:eastAsiaTheme="minorEastAsia" w:cstheme="minorEastAsia"/>
                <w:b/>
                <w:bCs/>
                <w:color w:val="auto"/>
                <w:sz w:val="24"/>
                <w:szCs w:val="24"/>
                <w:highlight w:val="none"/>
              </w:rPr>
              <w:t>。</w:t>
            </w:r>
          </w:p>
        </w:tc>
      </w:tr>
    </w:tbl>
    <w:p w14:paraId="0DEC2CDC">
      <w:pPr>
        <w:numPr>
          <w:ilvl w:val="0"/>
          <w:numId w:val="3"/>
        </w:numPr>
        <w:autoSpaceDN w:val="0"/>
        <w:spacing w:line="360" w:lineRule="auto"/>
        <w:ind w:left="425" w:leftChars="0" w:hanging="5" w:firstLineChars="0"/>
        <w:jc w:val="left"/>
        <w:rPr>
          <w:rFonts w:hint="eastAsia" w:ascii="宋体" w:hAnsi="宋体" w:cs="宋体"/>
          <w:color w:val="auto"/>
          <w:sz w:val="24"/>
          <w:highlight w:val="none"/>
        </w:rPr>
      </w:pPr>
      <w:r>
        <w:rPr>
          <w:rFonts w:hint="eastAsia" w:ascii="宋体" w:hAnsi="宋体"/>
          <w:color w:val="auto"/>
          <w:sz w:val="24"/>
          <w:highlight w:val="none"/>
          <w:lang w:eastAsia="zh-CN"/>
        </w:rPr>
        <w:t>服务期</w:t>
      </w:r>
      <w:r>
        <w:rPr>
          <w:rFonts w:hint="eastAsia" w:ascii="宋体" w:hAnsi="宋体" w:cs="仿宋_GB2312"/>
          <w:color w:val="auto"/>
          <w:sz w:val="24"/>
          <w:highlight w:val="none"/>
        </w:rPr>
        <w:t>：</w:t>
      </w:r>
      <w:r>
        <w:rPr>
          <w:rFonts w:hint="eastAsia" w:ascii="宋体" w:hAnsi="宋体" w:cs="仿宋_GB2312"/>
          <w:color w:val="auto"/>
          <w:sz w:val="24"/>
          <w:highlight w:val="none"/>
          <w:lang w:val="en-US" w:eastAsia="zh-CN"/>
        </w:rPr>
        <w:t>5年，合同期限自2025年1月1日至2029年12月31日止</w:t>
      </w:r>
      <w:r>
        <w:rPr>
          <w:rFonts w:hint="eastAsia" w:ascii="宋体" w:hAnsi="宋体" w:cs="仿宋_GB2312"/>
          <w:color w:val="auto"/>
          <w:sz w:val="24"/>
          <w:highlight w:val="none"/>
        </w:rPr>
        <w:t>。</w:t>
      </w:r>
    </w:p>
    <w:p w14:paraId="59DE96C1">
      <w:pPr>
        <w:numPr>
          <w:ilvl w:val="0"/>
          <w:numId w:val="4"/>
        </w:numPr>
        <w:autoSpaceDE w:val="0"/>
        <w:autoSpaceDN w:val="0"/>
        <w:adjustRightInd w:val="0"/>
        <w:snapToGrid w:val="0"/>
        <w:spacing w:line="360" w:lineRule="auto"/>
        <w:ind w:left="0" w:leftChars="0" w:firstLine="0" w:firstLineChars="0"/>
        <w:rPr>
          <w:rFonts w:hint="eastAsia" w:ascii="宋体" w:hAnsi="宋体" w:cs="宋体"/>
          <w:color w:val="auto"/>
          <w:sz w:val="24"/>
          <w:highlight w:val="none"/>
        </w:rPr>
      </w:pPr>
      <w:r>
        <w:rPr>
          <w:rFonts w:hint="eastAsia" w:ascii="宋体" w:hAnsi="宋体" w:cs="宋体"/>
          <w:b/>
          <w:bCs/>
          <w:color w:val="auto"/>
          <w:sz w:val="24"/>
          <w:highlight w:val="none"/>
        </w:rPr>
        <w:t>申请人的资格要求</w:t>
      </w:r>
    </w:p>
    <w:p w14:paraId="6D3D9904">
      <w:pPr>
        <w:numPr>
          <w:ilvl w:val="0"/>
          <w:numId w:val="5"/>
        </w:numPr>
        <w:autoSpaceDN w:val="0"/>
        <w:spacing w:line="360" w:lineRule="auto"/>
        <w:ind w:left="425" w:leftChars="0" w:hanging="5" w:firstLineChars="0"/>
        <w:jc w:val="left"/>
        <w:rPr>
          <w:rFonts w:hint="eastAsia" w:ascii="宋体" w:hAnsi="宋体"/>
          <w:color w:val="auto"/>
          <w:sz w:val="24"/>
          <w:highlight w:val="none"/>
          <w:lang w:val="en-US" w:eastAsia="zh-CN"/>
        </w:rPr>
      </w:pPr>
      <w:r>
        <w:rPr>
          <w:rFonts w:hint="eastAsia" w:ascii="宋体" w:hAnsi="宋体"/>
          <w:color w:val="auto"/>
          <w:sz w:val="24"/>
          <w:highlight w:val="none"/>
          <w:lang w:val="en-US" w:eastAsia="zh-CN"/>
        </w:rPr>
        <w:t>投标人须具有独立法人资格，营业执照处于有效内。</w:t>
      </w:r>
    </w:p>
    <w:p w14:paraId="091F9D7B">
      <w:pPr>
        <w:numPr>
          <w:ilvl w:val="0"/>
          <w:numId w:val="5"/>
        </w:numPr>
        <w:autoSpaceDN w:val="0"/>
        <w:spacing w:line="360" w:lineRule="auto"/>
        <w:ind w:left="425" w:leftChars="0" w:hanging="5" w:firstLineChars="0"/>
        <w:jc w:val="left"/>
        <w:rPr>
          <w:rFonts w:hint="eastAsia" w:ascii="宋体" w:hAnsi="宋体"/>
          <w:color w:val="auto"/>
          <w:sz w:val="24"/>
          <w:highlight w:val="none"/>
          <w:lang w:eastAsia="zh-CN"/>
        </w:rPr>
      </w:pPr>
      <w:r>
        <w:rPr>
          <w:rFonts w:hint="eastAsia" w:ascii="宋体" w:hAnsi="宋体"/>
          <w:color w:val="auto"/>
          <w:sz w:val="24"/>
          <w:highlight w:val="none"/>
          <w:lang w:eastAsia="zh-CN"/>
        </w:rPr>
        <w:t>本项目不接受联合体竞投。</w:t>
      </w:r>
    </w:p>
    <w:p w14:paraId="0D8CFAF7">
      <w:pPr>
        <w:numPr>
          <w:ilvl w:val="0"/>
          <w:numId w:val="5"/>
        </w:numPr>
        <w:autoSpaceDN w:val="0"/>
        <w:spacing w:line="360" w:lineRule="auto"/>
        <w:ind w:left="425" w:leftChars="0" w:hanging="5" w:firstLineChars="0"/>
        <w:jc w:val="left"/>
        <w:rPr>
          <w:rFonts w:hint="eastAsia" w:ascii="宋体" w:hAnsi="宋体"/>
          <w:color w:val="auto"/>
          <w:sz w:val="24"/>
          <w:highlight w:val="none"/>
          <w:lang w:eastAsia="zh-CN"/>
        </w:rPr>
      </w:pPr>
      <w:r>
        <w:rPr>
          <w:rFonts w:hint="eastAsia" w:ascii="宋体" w:hAnsi="宋体"/>
          <w:color w:val="auto"/>
          <w:sz w:val="24"/>
          <w:highlight w:val="none"/>
          <w:lang w:eastAsia="zh-CN"/>
        </w:rPr>
        <w:t>法律、行政法规规定的其他条件：</w:t>
      </w:r>
    </w:p>
    <w:p w14:paraId="6233ACFF">
      <w:pPr>
        <w:numPr>
          <w:ilvl w:val="0"/>
          <w:numId w:val="6"/>
        </w:numPr>
        <w:autoSpaceDN w:val="0"/>
        <w:spacing w:line="360" w:lineRule="auto"/>
        <w:ind w:left="425" w:leftChars="0" w:hanging="5" w:firstLineChars="0"/>
        <w:jc w:val="left"/>
        <w:rPr>
          <w:rFonts w:hint="eastAsia" w:ascii="宋体" w:hAnsi="宋体"/>
          <w:color w:val="auto"/>
          <w:sz w:val="24"/>
          <w:highlight w:val="none"/>
          <w:lang w:eastAsia="zh-CN"/>
        </w:rPr>
      </w:pPr>
      <w:r>
        <w:rPr>
          <w:rFonts w:hint="eastAsia" w:ascii="宋体" w:hAnsi="宋体"/>
          <w:color w:val="auto"/>
          <w:sz w:val="24"/>
          <w:highlight w:val="none"/>
          <w:lang w:eastAsia="zh-CN"/>
        </w:rPr>
        <w:t>单位负责人为同一人或者存在控股、管理关系的不同单位，不得参与同一标段投标或者未划分标段的同一招标项目投标（提供《竞投承诺函》）；</w:t>
      </w:r>
    </w:p>
    <w:p w14:paraId="7F1BE3D1">
      <w:pPr>
        <w:numPr>
          <w:ilvl w:val="0"/>
          <w:numId w:val="6"/>
        </w:numPr>
        <w:autoSpaceDN w:val="0"/>
        <w:spacing w:line="360" w:lineRule="auto"/>
        <w:ind w:left="425" w:leftChars="0" w:hanging="5" w:firstLineChars="0"/>
        <w:jc w:val="left"/>
        <w:rPr>
          <w:rFonts w:hint="eastAsia" w:ascii="宋体" w:hAnsi="宋体"/>
          <w:color w:val="auto"/>
          <w:sz w:val="24"/>
          <w:highlight w:val="none"/>
          <w:lang w:eastAsia="zh-CN"/>
        </w:rPr>
      </w:pPr>
      <w:r>
        <w:rPr>
          <w:rFonts w:hint="eastAsia" w:ascii="宋体" w:hAnsi="宋体"/>
          <w:color w:val="auto"/>
          <w:sz w:val="24"/>
          <w:highlight w:val="none"/>
          <w:lang w:eastAsia="zh-CN"/>
        </w:rPr>
        <w:t>为采购项目提供整体设计、规范编制或者项目管理、监理、检测等服务的供应商，不得再参加该采购项目的其他采购活动（提供《竞投承诺函》）；</w:t>
      </w:r>
    </w:p>
    <w:p w14:paraId="3C93BB12">
      <w:pPr>
        <w:numPr>
          <w:ilvl w:val="0"/>
          <w:numId w:val="6"/>
        </w:numPr>
        <w:autoSpaceDN w:val="0"/>
        <w:spacing w:line="360" w:lineRule="auto"/>
        <w:ind w:left="425" w:leftChars="0" w:hanging="5" w:firstLineChars="0"/>
        <w:jc w:val="left"/>
        <w:rPr>
          <w:rFonts w:hint="eastAsia" w:ascii="宋体" w:hAnsi="宋体"/>
          <w:color w:val="auto"/>
          <w:sz w:val="24"/>
          <w:highlight w:val="none"/>
          <w:lang w:eastAsia="zh-CN"/>
        </w:rPr>
      </w:pPr>
      <w:r>
        <w:rPr>
          <w:rFonts w:hint="eastAsia" w:ascii="宋体" w:hAnsi="宋体"/>
          <w:color w:val="auto"/>
          <w:sz w:val="24"/>
          <w:highlight w:val="none"/>
          <w:lang w:eastAsia="zh-CN"/>
        </w:rPr>
        <w:t>信用记录：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招标代理机构于投标截止日当天在“信用中国”网站（www.creditchina.gov.cn）及中国政府采购网(www.ccgp.gov.cn)查询结果为准，如相关失信记录已失效，供应商需提供相关证明资料】。</w:t>
      </w:r>
    </w:p>
    <w:p w14:paraId="6BBC6C8C">
      <w:pPr>
        <w:numPr>
          <w:ilvl w:val="0"/>
          <w:numId w:val="4"/>
        </w:numPr>
        <w:autoSpaceDE w:val="0"/>
        <w:autoSpaceDN w:val="0"/>
        <w:adjustRightInd w:val="0"/>
        <w:snapToGrid w:val="0"/>
        <w:spacing w:line="360" w:lineRule="auto"/>
        <w:ind w:left="0" w:leftChars="0" w:firstLine="0" w:firstLineChars="0"/>
        <w:rPr>
          <w:rFonts w:hint="eastAsia" w:ascii="宋体" w:hAnsi="宋体" w:eastAsia="宋体" w:cs="宋体"/>
          <w:b/>
          <w:bCs/>
          <w:color w:val="auto"/>
          <w:sz w:val="24"/>
          <w:highlight w:val="none"/>
          <w:lang w:eastAsia="zh-CN"/>
        </w:rPr>
      </w:pPr>
      <w:r>
        <w:rPr>
          <w:rFonts w:hint="eastAsia" w:ascii="宋体" w:hAnsi="宋体" w:cs="宋体"/>
          <w:b/>
          <w:bCs/>
          <w:color w:val="auto"/>
          <w:sz w:val="24"/>
          <w:highlight w:val="none"/>
        </w:rPr>
        <w:t>获取</w:t>
      </w:r>
      <w:r>
        <w:rPr>
          <w:rFonts w:hint="eastAsia" w:ascii="宋体" w:hAnsi="宋体" w:cs="宋体"/>
          <w:b/>
          <w:bCs/>
          <w:color w:val="auto"/>
          <w:sz w:val="24"/>
          <w:highlight w:val="none"/>
          <w:lang w:eastAsia="zh-CN"/>
        </w:rPr>
        <w:t>竞投文件</w:t>
      </w:r>
    </w:p>
    <w:p w14:paraId="57F9F38C">
      <w:pPr>
        <w:numPr>
          <w:ilvl w:val="0"/>
          <w:numId w:val="7"/>
        </w:numPr>
        <w:autoSpaceDN w:val="0"/>
        <w:spacing w:line="360" w:lineRule="auto"/>
        <w:ind w:left="425" w:leftChars="0" w:hanging="5" w:firstLineChars="0"/>
        <w:jc w:val="left"/>
        <w:rPr>
          <w:rFonts w:hint="eastAsia" w:ascii="宋体" w:hAnsi="宋体" w:cs="宋体"/>
          <w:color w:val="auto"/>
          <w:sz w:val="24"/>
          <w:highlight w:val="none"/>
        </w:rPr>
      </w:pPr>
      <w:r>
        <w:rPr>
          <w:rFonts w:hint="eastAsia" w:ascii="宋体" w:hAnsi="宋体" w:cs="宋体"/>
          <w:color w:val="auto"/>
          <w:sz w:val="24"/>
          <w:highlight w:val="none"/>
        </w:rPr>
        <w:t>凡有意参加</w:t>
      </w:r>
      <w:r>
        <w:rPr>
          <w:rFonts w:hint="eastAsia" w:ascii="宋体" w:hAnsi="宋体" w:cs="宋体"/>
          <w:color w:val="auto"/>
          <w:sz w:val="24"/>
          <w:highlight w:val="none"/>
          <w:lang w:eastAsia="zh-CN"/>
        </w:rPr>
        <w:t>竞投</w:t>
      </w:r>
      <w:r>
        <w:rPr>
          <w:rFonts w:hint="eastAsia" w:ascii="宋体" w:hAnsi="宋体" w:cs="宋体"/>
          <w:color w:val="auto"/>
          <w:sz w:val="24"/>
          <w:highlight w:val="none"/>
        </w:rPr>
        <w:t>的</w:t>
      </w:r>
      <w:r>
        <w:rPr>
          <w:rFonts w:hint="eastAsia" w:ascii="宋体" w:hAnsi="宋体" w:cs="宋体"/>
          <w:color w:val="auto"/>
          <w:sz w:val="24"/>
          <w:highlight w:val="none"/>
          <w:lang w:eastAsia="zh-CN"/>
        </w:rPr>
        <w:t>投标人</w:t>
      </w:r>
      <w:r>
        <w:rPr>
          <w:rFonts w:hint="eastAsia" w:ascii="宋体" w:hAnsi="宋体" w:cs="宋体"/>
          <w:color w:val="auto"/>
          <w:sz w:val="24"/>
          <w:highlight w:val="none"/>
        </w:rPr>
        <w:t>，可于</w:t>
      </w:r>
      <w:r>
        <w:rPr>
          <w:rFonts w:hint="eastAsia" w:ascii="宋体" w:hAnsi="宋体"/>
          <w:color w:val="auto"/>
          <w:sz w:val="24"/>
          <w:highlight w:val="none"/>
          <w:lang w:eastAsia="zh-CN"/>
        </w:rPr>
        <w:t>2024年</w:t>
      </w:r>
      <w:r>
        <w:rPr>
          <w:rFonts w:hint="eastAsia" w:ascii="宋体" w:hAnsi="宋体"/>
          <w:color w:val="auto"/>
          <w:sz w:val="24"/>
          <w:highlight w:val="none"/>
          <w:lang w:val="en-US" w:eastAsia="zh-CN"/>
        </w:rPr>
        <w:t>11</w:t>
      </w:r>
      <w:r>
        <w:rPr>
          <w:rFonts w:hint="eastAsia" w:ascii="宋体" w:hAnsi="宋体"/>
          <w:color w:val="auto"/>
          <w:sz w:val="24"/>
          <w:highlight w:val="none"/>
          <w:u w:val="none"/>
          <w:lang w:val="en-US" w:eastAsia="zh-CN"/>
        </w:rPr>
        <w:t>月19日</w:t>
      </w:r>
      <w:r>
        <w:rPr>
          <w:rFonts w:hint="eastAsia" w:ascii="宋体" w:hAnsi="宋体" w:cs="宋体"/>
          <w:color w:val="auto"/>
          <w:sz w:val="24"/>
          <w:highlight w:val="none"/>
        </w:rPr>
        <w:t>至</w:t>
      </w:r>
      <w:r>
        <w:rPr>
          <w:rFonts w:hint="eastAsia" w:ascii="宋体" w:hAnsi="宋体" w:cs="宋体"/>
          <w:color w:val="auto"/>
          <w:sz w:val="24"/>
          <w:highlight w:val="none"/>
          <w:lang w:eastAsia="zh-CN"/>
        </w:rPr>
        <w:t>竞投</w:t>
      </w:r>
      <w:r>
        <w:rPr>
          <w:rFonts w:hint="eastAsia" w:ascii="宋体" w:hAnsi="宋体" w:cs="宋体"/>
          <w:color w:val="auto"/>
          <w:sz w:val="24"/>
          <w:highlight w:val="none"/>
        </w:rPr>
        <w:t>截止时间前登录</w:t>
      </w:r>
      <w:r>
        <w:rPr>
          <w:rFonts w:hint="eastAsia" w:ascii="宋体" w:hAnsi="宋体" w:cs="宋体"/>
          <w:color w:val="auto"/>
          <w:sz w:val="24"/>
          <w:highlight w:val="none"/>
          <w:lang w:eastAsia="zh-CN"/>
        </w:rPr>
        <w:t>招标代理机构网站（http：//www.gdzczb.com/）</w:t>
      </w:r>
      <w:r>
        <w:rPr>
          <w:rFonts w:hint="eastAsia" w:ascii="宋体" w:hAnsi="宋体" w:cs="宋体"/>
          <w:color w:val="auto"/>
          <w:sz w:val="24"/>
          <w:highlight w:val="none"/>
        </w:rPr>
        <w:t>下载</w:t>
      </w:r>
      <w:r>
        <w:rPr>
          <w:rFonts w:hint="eastAsia" w:ascii="宋体" w:hAnsi="宋体" w:cs="宋体"/>
          <w:color w:val="auto"/>
          <w:sz w:val="24"/>
          <w:highlight w:val="none"/>
          <w:lang w:eastAsia="zh-CN"/>
        </w:rPr>
        <w:t>竞投文件</w:t>
      </w:r>
      <w:r>
        <w:rPr>
          <w:rFonts w:hint="eastAsia" w:ascii="宋体" w:hAnsi="宋体" w:cs="宋体"/>
          <w:color w:val="auto"/>
          <w:sz w:val="24"/>
          <w:highlight w:val="none"/>
        </w:rPr>
        <w:t>等资料。</w:t>
      </w:r>
    </w:p>
    <w:p w14:paraId="44DC1D10">
      <w:pPr>
        <w:numPr>
          <w:ilvl w:val="0"/>
          <w:numId w:val="7"/>
        </w:numPr>
        <w:autoSpaceDN w:val="0"/>
        <w:spacing w:line="360" w:lineRule="auto"/>
        <w:ind w:left="425" w:leftChars="0" w:hanging="5" w:firstLineChars="0"/>
        <w:jc w:val="left"/>
        <w:rPr>
          <w:rFonts w:hint="eastAsia" w:ascii="宋体" w:hAnsi="宋体" w:cs="宋体"/>
          <w:color w:val="auto"/>
          <w:sz w:val="24"/>
          <w:highlight w:val="none"/>
        </w:rPr>
      </w:pPr>
      <w:r>
        <w:rPr>
          <w:rFonts w:hint="eastAsia" w:ascii="宋体" w:hAnsi="宋体" w:cs="宋体"/>
          <w:color w:val="auto"/>
          <w:sz w:val="24"/>
          <w:highlight w:val="none"/>
          <w:lang w:eastAsia="zh-CN"/>
        </w:rPr>
        <w:t>竞投文件</w:t>
      </w:r>
      <w:r>
        <w:rPr>
          <w:rFonts w:hint="eastAsia" w:ascii="宋体" w:hAnsi="宋体" w:cs="宋体"/>
          <w:color w:val="auto"/>
          <w:sz w:val="24"/>
          <w:highlight w:val="none"/>
        </w:rPr>
        <w:t>一经</w:t>
      </w:r>
      <w:r>
        <w:rPr>
          <w:rFonts w:hint="eastAsia" w:ascii="宋体" w:hAnsi="宋体" w:cs="宋体"/>
          <w:color w:val="auto"/>
          <w:sz w:val="24"/>
          <w:highlight w:val="none"/>
          <w:lang w:eastAsia="zh-CN"/>
        </w:rPr>
        <w:t>招标代理机构网站（http：//www.gdzczb.com/）</w:t>
      </w:r>
      <w:r>
        <w:rPr>
          <w:rFonts w:hint="eastAsia" w:ascii="宋体" w:hAnsi="宋体" w:cs="宋体"/>
          <w:color w:val="auto"/>
          <w:sz w:val="24"/>
          <w:highlight w:val="none"/>
        </w:rPr>
        <w:t>发布，视作已发放给所有</w:t>
      </w:r>
      <w:r>
        <w:rPr>
          <w:rFonts w:hint="eastAsia" w:ascii="宋体" w:hAnsi="宋体" w:cs="宋体"/>
          <w:color w:val="auto"/>
          <w:sz w:val="24"/>
          <w:highlight w:val="none"/>
          <w:lang w:eastAsia="zh-CN"/>
        </w:rPr>
        <w:t>投标人</w:t>
      </w:r>
      <w:r>
        <w:rPr>
          <w:rFonts w:hint="eastAsia" w:ascii="宋体" w:hAnsi="宋体" w:cs="宋体"/>
          <w:color w:val="auto"/>
          <w:sz w:val="24"/>
          <w:highlight w:val="none"/>
        </w:rPr>
        <w:t>，各</w:t>
      </w:r>
      <w:r>
        <w:rPr>
          <w:rFonts w:hint="eastAsia" w:ascii="宋体" w:hAnsi="宋体" w:cs="宋体"/>
          <w:color w:val="auto"/>
          <w:sz w:val="24"/>
          <w:highlight w:val="none"/>
          <w:lang w:eastAsia="zh-CN"/>
        </w:rPr>
        <w:t>投标人</w:t>
      </w:r>
      <w:r>
        <w:rPr>
          <w:rFonts w:hint="eastAsia" w:ascii="宋体" w:hAnsi="宋体" w:cs="宋体"/>
          <w:color w:val="auto"/>
          <w:sz w:val="24"/>
          <w:highlight w:val="none"/>
        </w:rPr>
        <w:t>应及时下载电子版</w:t>
      </w:r>
      <w:r>
        <w:rPr>
          <w:rFonts w:hint="eastAsia" w:ascii="宋体" w:hAnsi="宋体" w:cs="宋体"/>
          <w:color w:val="auto"/>
          <w:sz w:val="24"/>
          <w:highlight w:val="none"/>
          <w:lang w:eastAsia="zh-CN"/>
        </w:rPr>
        <w:t>竞投文件</w:t>
      </w:r>
      <w:r>
        <w:rPr>
          <w:rFonts w:hint="eastAsia" w:ascii="宋体" w:hAnsi="宋体" w:cs="宋体"/>
          <w:color w:val="auto"/>
          <w:sz w:val="24"/>
          <w:highlight w:val="none"/>
        </w:rPr>
        <w:t>。否则所造成的一切后果由</w:t>
      </w:r>
      <w:r>
        <w:rPr>
          <w:rFonts w:hint="eastAsia" w:ascii="宋体" w:hAnsi="宋体" w:cs="宋体"/>
          <w:color w:val="auto"/>
          <w:sz w:val="24"/>
          <w:highlight w:val="none"/>
          <w:lang w:eastAsia="zh-CN"/>
        </w:rPr>
        <w:t>投标人</w:t>
      </w:r>
      <w:r>
        <w:rPr>
          <w:rFonts w:hint="eastAsia" w:ascii="宋体" w:hAnsi="宋体" w:cs="宋体"/>
          <w:color w:val="auto"/>
          <w:sz w:val="24"/>
          <w:highlight w:val="none"/>
        </w:rPr>
        <w:t>自负。</w:t>
      </w:r>
    </w:p>
    <w:p w14:paraId="256FF280">
      <w:pPr>
        <w:numPr>
          <w:ilvl w:val="0"/>
          <w:numId w:val="7"/>
        </w:numPr>
        <w:autoSpaceDN w:val="0"/>
        <w:spacing w:line="360" w:lineRule="auto"/>
        <w:ind w:left="425" w:leftChars="0" w:hanging="5" w:firstLineChars="0"/>
        <w:jc w:val="left"/>
        <w:rPr>
          <w:rFonts w:hint="eastAsia" w:ascii="宋体" w:hAnsi="宋体" w:cs="宋体"/>
          <w:color w:val="auto"/>
          <w:sz w:val="24"/>
          <w:highlight w:val="none"/>
        </w:rPr>
      </w:pPr>
      <w:r>
        <w:rPr>
          <w:rFonts w:hint="eastAsia" w:ascii="宋体" w:hAnsi="宋体" w:cs="宋体"/>
          <w:color w:val="auto"/>
          <w:sz w:val="24"/>
          <w:highlight w:val="none"/>
          <w:lang w:eastAsia="zh-CN"/>
        </w:rPr>
        <w:t>竞投文件</w:t>
      </w:r>
      <w:r>
        <w:rPr>
          <w:rFonts w:hint="eastAsia" w:ascii="宋体" w:hAnsi="宋体" w:cs="宋体"/>
          <w:color w:val="auto"/>
          <w:sz w:val="24"/>
          <w:highlight w:val="none"/>
        </w:rPr>
        <w:t>每套售价</w:t>
      </w:r>
      <w:r>
        <w:rPr>
          <w:rFonts w:hint="eastAsia" w:ascii="宋体" w:hAnsi="宋体" w:cs="宋体"/>
          <w:color w:val="auto"/>
          <w:sz w:val="24"/>
          <w:highlight w:val="none"/>
          <w:lang w:val="en-US" w:eastAsia="zh-CN"/>
        </w:rPr>
        <w:t>5</w:t>
      </w:r>
      <w:r>
        <w:rPr>
          <w:rFonts w:hint="eastAsia" w:ascii="宋体" w:hAnsi="宋体" w:cs="宋体"/>
          <w:color w:val="auto"/>
          <w:sz w:val="24"/>
          <w:highlight w:val="none"/>
        </w:rPr>
        <w:t>00元（人民币），在开标当天收取，售后不退。</w:t>
      </w:r>
    </w:p>
    <w:p w14:paraId="7472E06A">
      <w:pPr>
        <w:numPr>
          <w:ilvl w:val="0"/>
          <w:numId w:val="4"/>
        </w:numPr>
        <w:autoSpaceDE w:val="0"/>
        <w:autoSpaceDN w:val="0"/>
        <w:adjustRightInd w:val="0"/>
        <w:snapToGrid w:val="0"/>
        <w:spacing w:line="360" w:lineRule="auto"/>
        <w:ind w:left="0" w:leftChars="0" w:firstLine="0" w:firstLineChars="0"/>
        <w:rPr>
          <w:rFonts w:hint="eastAsia" w:ascii="宋体" w:hAnsi="宋体" w:cs="宋体"/>
          <w:b/>
          <w:bCs/>
          <w:color w:val="auto"/>
          <w:sz w:val="24"/>
          <w:highlight w:val="none"/>
        </w:rPr>
      </w:pPr>
      <w:r>
        <w:rPr>
          <w:rFonts w:hint="eastAsia" w:ascii="宋体" w:hAnsi="宋体" w:cs="宋体"/>
          <w:b/>
          <w:bCs/>
          <w:color w:val="auto"/>
          <w:sz w:val="24"/>
          <w:highlight w:val="none"/>
        </w:rPr>
        <w:t>提交</w:t>
      </w:r>
      <w:r>
        <w:rPr>
          <w:rFonts w:hint="eastAsia" w:ascii="宋体" w:hAnsi="宋体" w:cs="宋体"/>
          <w:b/>
          <w:bCs/>
          <w:color w:val="auto"/>
          <w:sz w:val="24"/>
          <w:highlight w:val="none"/>
          <w:lang w:eastAsia="zh-CN"/>
        </w:rPr>
        <w:t>资格审查</w:t>
      </w:r>
      <w:r>
        <w:rPr>
          <w:rFonts w:hint="eastAsia" w:ascii="宋体" w:hAnsi="宋体" w:cs="宋体"/>
          <w:b/>
          <w:bCs/>
          <w:color w:val="auto"/>
          <w:sz w:val="24"/>
          <w:highlight w:val="none"/>
        </w:rPr>
        <w:t>文件截止时间、开标时间和地点</w:t>
      </w:r>
    </w:p>
    <w:p w14:paraId="492292F8">
      <w:pPr>
        <w:numPr>
          <w:ilvl w:val="0"/>
          <w:numId w:val="8"/>
        </w:numPr>
        <w:autoSpaceDN w:val="0"/>
        <w:spacing w:line="360" w:lineRule="auto"/>
        <w:ind w:left="425" w:leftChars="0" w:hanging="5" w:firstLineChars="0"/>
        <w:jc w:val="left"/>
        <w:rPr>
          <w:rFonts w:hint="default" w:ascii="宋体" w:hAnsi="宋体" w:eastAsia="宋体" w:cs="宋体"/>
          <w:color w:val="auto"/>
          <w:sz w:val="24"/>
          <w:highlight w:val="none"/>
          <w:lang w:val="en-US" w:eastAsia="zh-CN"/>
        </w:rPr>
      </w:pPr>
      <w:r>
        <w:rPr>
          <w:rFonts w:hint="eastAsia" w:ascii="宋体" w:hAnsi="宋体" w:cs="宋体"/>
          <w:color w:val="auto"/>
          <w:sz w:val="24"/>
          <w:highlight w:val="none"/>
          <w:lang w:eastAsia="zh-CN"/>
        </w:rPr>
        <w:t>资格审查</w:t>
      </w:r>
      <w:r>
        <w:rPr>
          <w:rFonts w:hint="eastAsia" w:ascii="宋体" w:hAnsi="宋体"/>
          <w:color w:val="auto"/>
          <w:sz w:val="24"/>
          <w:highlight w:val="none"/>
          <w:lang w:eastAsia="zh-CN"/>
        </w:rPr>
        <w:t>文件递交</w:t>
      </w:r>
      <w:r>
        <w:rPr>
          <w:rFonts w:hint="eastAsia" w:ascii="宋体" w:hAnsi="宋体"/>
          <w:color w:val="auto"/>
          <w:sz w:val="24"/>
          <w:highlight w:val="none"/>
        </w:rPr>
        <w:t>截止时间：</w:t>
      </w:r>
      <w:r>
        <w:rPr>
          <w:rFonts w:hint="eastAsia" w:ascii="宋体" w:hAnsi="宋体"/>
          <w:color w:val="auto"/>
          <w:sz w:val="24"/>
          <w:highlight w:val="none"/>
          <w:lang w:eastAsia="zh-CN"/>
        </w:rPr>
        <w:t>2024年</w:t>
      </w:r>
      <w:r>
        <w:rPr>
          <w:rFonts w:hint="eastAsia" w:ascii="宋体" w:hAnsi="宋体"/>
          <w:color w:val="auto"/>
          <w:sz w:val="24"/>
          <w:highlight w:val="none"/>
          <w:lang w:val="en-US" w:eastAsia="zh-CN"/>
        </w:rPr>
        <w:t>11</w:t>
      </w:r>
      <w:r>
        <w:rPr>
          <w:rFonts w:hint="eastAsia" w:ascii="宋体" w:hAnsi="宋体"/>
          <w:color w:val="auto"/>
          <w:sz w:val="24"/>
          <w:highlight w:val="none"/>
          <w:u w:val="none"/>
          <w:lang w:val="en-US" w:eastAsia="zh-CN"/>
        </w:rPr>
        <w:t>月27日</w:t>
      </w:r>
      <w:r>
        <w:rPr>
          <w:rFonts w:hint="eastAsia" w:ascii="宋体" w:hAnsi="宋体"/>
          <w:color w:val="auto"/>
          <w:sz w:val="24"/>
          <w:highlight w:val="none"/>
          <w:lang w:val="en-US" w:eastAsia="zh-CN"/>
        </w:rPr>
        <w:t>9</w:t>
      </w:r>
      <w:r>
        <w:rPr>
          <w:rFonts w:hint="eastAsia" w:ascii="宋体" w:hAnsi="宋体" w:cs="宋体"/>
          <w:color w:val="auto"/>
          <w:sz w:val="24"/>
          <w:highlight w:val="none"/>
        </w:rPr>
        <w:t>点</w:t>
      </w:r>
      <w:r>
        <w:rPr>
          <w:rFonts w:hint="eastAsia" w:ascii="宋体" w:hAnsi="宋体"/>
          <w:color w:val="auto"/>
          <w:sz w:val="24"/>
          <w:highlight w:val="none"/>
          <w:lang w:val="en-US" w:eastAsia="zh-CN"/>
        </w:rPr>
        <w:t>30</w:t>
      </w:r>
      <w:r>
        <w:rPr>
          <w:rFonts w:hint="eastAsia" w:ascii="宋体" w:hAnsi="宋体" w:cs="宋体"/>
          <w:color w:val="auto"/>
          <w:sz w:val="24"/>
          <w:highlight w:val="none"/>
        </w:rPr>
        <w:t>分（北京时间）</w:t>
      </w:r>
      <w:r>
        <w:rPr>
          <w:rFonts w:hint="eastAsia" w:ascii="宋体" w:hAnsi="宋体" w:cs="宋体"/>
          <w:color w:val="auto"/>
          <w:sz w:val="24"/>
          <w:highlight w:val="none"/>
          <w:lang w:val="en-US" w:eastAsia="zh-CN"/>
        </w:rPr>
        <w:t>。</w:t>
      </w:r>
    </w:p>
    <w:p w14:paraId="32F66D87">
      <w:pPr>
        <w:numPr>
          <w:ilvl w:val="0"/>
          <w:numId w:val="8"/>
        </w:numPr>
        <w:autoSpaceDN w:val="0"/>
        <w:spacing w:line="360" w:lineRule="auto"/>
        <w:ind w:left="425" w:leftChars="0" w:hanging="5" w:firstLineChars="0"/>
        <w:jc w:val="left"/>
        <w:rPr>
          <w:rFonts w:hint="default" w:ascii="宋体" w:hAnsi="宋体" w:eastAsia="宋体"/>
          <w:color w:val="auto"/>
          <w:sz w:val="24"/>
          <w:highlight w:val="none"/>
          <w:lang w:val="en-US" w:eastAsia="zh-CN"/>
        </w:rPr>
      </w:pPr>
      <w:r>
        <w:rPr>
          <w:rFonts w:hint="eastAsia" w:ascii="宋体" w:hAnsi="宋体"/>
          <w:color w:val="auto"/>
          <w:sz w:val="24"/>
          <w:highlight w:val="none"/>
          <w:lang w:eastAsia="zh-CN"/>
        </w:rPr>
        <w:t>资格</w:t>
      </w:r>
      <w:r>
        <w:rPr>
          <w:rFonts w:hint="eastAsia" w:ascii="宋体" w:hAnsi="宋体" w:cs="宋体"/>
          <w:color w:val="auto"/>
          <w:sz w:val="24"/>
          <w:highlight w:val="none"/>
          <w:lang w:eastAsia="zh-CN"/>
        </w:rPr>
        <w:t>审查</w:t>
      </w:r>
      <w:r>
        <w:rPr>
          <w:rFonts w:hint="eastAsia" w:ascii="宋体" w:hAnsi="宋体"/>
          <w:color w:val="auto"/>
          <w:sz w:val="24"/>
          <w:highlight w:val="none"/>
        </w:rPr>
        <w:t>时间：</w:t>
      </w:r>
      <w:r>
        <w:rPr>
          <w:rFonts w:hint="eastAsia" w:ascii="宋体" w:hAnsi="宋体"/>
          <w:color w:val="auto"/>
          <w:sz w:val="24"/>
          <w:highlight w:val="none"/>
          <w:lang w:eastAsia="zh-CN"/>
        </w:rPr>
        <w:t>2024年</w:t>
      </w:r>
      <w:r>
        <w:rPr>
          <w:rFonts w:hint="eastAsia" w:ascii="宋体" w:hAnsi="宋体"/>
          <w:color w:val="auto"/>
          <w:sz w:val="24"/>
          <w:highlight w:val="none"/>
          <w:lang w:val="en-US" w:eastAsia="zh-CN"/>
        </w:rPr>
        <w:t>11</w:t>
      </w:r>
      <w:r>
        <w:rPr>
          <w:rFonts w:hint="eastAsia" w:ascii="宋体" w:hAnsi="宋体"/>
          <w:color w:val="auto"/>
          <w:sz w:val="24"/>
          <w:highlight w:val="none"/>
          <w:u w:val="none"/>
          <w:lang w:val="en-US" w:eastAsia="zh-CN"/>
        </w:rPr>
        <w:t>月27日</w:t>
      </w:r>
      <w:r>
        <w:rPr>
          <w:rFonts w:hint="eastAsia" w:ascii="宋体" w:hAnsi="宋体"/>
          <w:color w:val="auto"/>
          <w:sz w:val="24"/>
          <w:highlight w:val="none"/>
          <w:lang w:val="en-US" w:eastAsia="zh-CN"/>
        </w:rPr>
        <w:t>9</w:t>
      </w:r>
      <w:r>
        <w:rPr>
          <w:rFonts w:hint="eastAsia" w:ascii="宋体" w:hAnsi="宋体"/>
          <w:color w:val="auto"/>
          <w:sz w:val="24"/>
          <w:highlight w:val="none"/>
        </w:rPr>
        <w:t>点</w:t>
      </w:r>
      <w:r>
        <w:rPr>
          <w:rFonts w:hint="eastAsia" w:ascii="宋体" w:hAnsi="宋体"/>
          <w:color w:val="auto"/>
          <w:sz w:val="24"/>
          <w:highlight w:val="none"/>
          <w:lang w:val="en-US" w:eastAsia="zh-CN"/>
        </w:rPr>
        <w:t>30</w:t>
      </w:r>
      <w:r>
        <w:rPr>
          <w:rFonts w:hint="eastAsia" w:ascii="宋体" w:hAnsi="宋体"/>
          <w:color w:val="auto"/>
          <w:sz w:val="24"/>
          <w:highlight w:val="none"/>
        </w:rPr>
        <w:t>分（北京时间）</w:t>
      </w:r>
      <w:r>
        <w:rPr>
          <w:rFonts w:hint="eastAsia" w:ascii="宋体" w:hAnsi="宋体"/>
          <w:color w:val="auto"/>
          <w:sz w:val="24"/>
          <w:highlight w:val="none"/>
          <w:lang w:eastAsia="zh-CN"/>
        </w:rPr>
        <w:t>（</w:t>
      </w:r>
      <w:r>
        <w:rPr>
          <w:rFonts w:hint="eastAsia" w:ascii="宋体" w:hAnsi="宋体" w:cs="宋体"/>
          <w:color w:val="auto"/>
          <w:sz w:val="24"/>
          <w:highlight w:val="none"/>
          <w:lang w:eastAsia="zh-CN"/>
        </w:rPr>
        <w:t>资格审查</w:t>
      </w:r>
      <w:r>
        <w:rPr>
          <w:rFonts w:hint="eastAsia" w:ascii="宋体" w:hAnsi="宋体"/>
          <w:color w:val="auto"/>
          <w:sz w:val="24"/>
          <w:highlight w:val="none"/>
        </w:rPr>
        <w:t>文件递交截止</w:t>
      </w:r>
      <w:r>
        <w:rPr>
          <w:rFonts w:hint="eastAsia" w:ascii="宋体" w:hAnsi="宋体"/>
          <w:color w:val="auto"/>
          <w:sz w:val="24"/>
          <w:highlight w:val="none"/>
          <w:lang w:eastAsia="zh-CN"/>
        </w:rPr>
        <w:t>后马上进行资格审查）。</w:t>
      </w:r>
    </w:p>
    <w:p w14:paraId="6A315605">
      <w:pPr>
        <w:numPr>
          <w:ilvl w:val="0"/>
          <w:numId w:val="8"/>
        </w:numPr>
        <w:autoSpaceDN w:val="0"/>
        <w:spacing w:line="360" w:lineRule="auto"/>
        <w:ind w:left="425" w:leftChars="0" w:hanging="5" w:firstLineChars="0"/>
        <w:jc w:val="left"/>
        <w:rPr>
          <w:rFonts w:hint="eastAsia" w:ascii="宋体" w:hAnsi="宋体"/>
          <w:color w:val="auto"/>
          <w:sz w:val="24"/>
          <w:highlight w:val="none"/>
        </w:rPr>
      </w:pPr>
      <w:r>
        <w:rPr>
          <w:rFonts w:hint="eastAsia" w:ascii="宋体" w:hAnsi="宋体"/>
          <w:color w:val="auto"/>
          <w:sz w:val="24"/>
          <w:highlight w:val="none"/>
          <w:lang w:eastAsia="zh-CN"/>
        </w:rPr>
        <w:t>竞投地点</w:t>
      </w:r>
      <w:r>
        <w:rPr>
          <w:rFonts w:hint="eastAsia" w:ascii="宋体" w:hAnsi="宋体"/>
          <w:color w:val="auto"/>
          <w:sz w:val="24"/>
          <w:highlight w:val="none"/>
        </w:rPr>
        <w:t>：佛山市禅城区南庄镇紫洞南路106号南庄商业广场A1座四楼南庄镇公共资源交易所开标室（接受</w:t>
      </w:r>
      <w:r>
        <w:rPr>
          <w:rFonts w:hint="eastAsia" w:ascii="宋体" w:hAnsi="宋体"/>
          <w:color w:val="auto"/>
          <w:sz w:val="24"/>
          <w:highlight w:val="none"/>
          <w:lang w:eastAsia="zh-CN"/>
        </w:rPr>
        <w:t>竞投</w:t>
      </w:r>
      <w:r>
        <w:rPr>
          <w:rFonts w:hint="eastAsia" w:ascii="宋体" w:hAnsi="宋体"/>
          <w:color w:val="auto"/>
          <w:sz w:val="24"/>
          <w:highlight w:val="none"/>
        </w:rPr>
        <w:t>文件时间：</w:t>
      </w:r>
      <w:r>
        <w:rPr>
          <w:rFonts w:hint="eastAsia" w:ascii="宋体" w:hAnsi="宋体"/>
          <w:color w:val="auto"/>
          <w:sz w:val="24"/>
          <w:highlight w:val="none"/>
          <w:lang w:eastAsia="zh-CN"/>
        </w:rPr>
        <w:t>2024年</w:t>
      </w:r>
      <w:r>
        <w:rPr>
          <w:rFonts w:hint="eastAsia" w:ascii="宋体" w:hAnsi="宋体"/>
          <w:color w:val="auto"/>
          <w:sz w:val="24"/>
          <w:highlight w:val="none"/>
          <w:lang w:val="en-US" w:eastAsia="zh-CN"/>
        </w:rPr>
        <w:t>11</w:t>
      </w:r>
      <w:r>
        <w:rPr>
          <w:rFonts w:hint="eastAsia" w:ascii="宋体" w:hAnsi="宋体"/>
          <w:color w:val="auto"/>
          <w:sz w:val="24"/>
          <w:highlight w:val="none"/>
          <w:u w:val="none"/>
          <w:lang w:val="en-US" w:eastAsia="zh-CN"/>
        </w:rPr>
        <w:t>月27日</w:t>
      </w:r>
      <w:r>
        <w:rPr>
          <w:rFonts w:hint="eastAsia" w:ascii="宋体" w:hAnsi="宋体"/>
          <w:color w:val="auto"/>
          <w:sz w:val="24"/>
          <w:highlight w:val="none"/>
          <w:lang w:val="en-US" w:eastAsia="zh-CN"/>
        </w:rPr>
        <w:t>9</w:t>
      </w:r>
      <w:r>
        <w:rPr>
          <w:rFonts w:hint="eastAsia" w:ascii="宋体" w:hAnsi="宋体"/>
          <w:color w:val="auto"/>
          <w:sz w:val="24"/>
          <w:highlight w:val="none"/>
        </w:rPr>
        <w:t>时</w:t>
      </w:r>
      <w:r>
        <w:rPr>
          <w:rFonts w:hint="eastAsia" w:ascii="宋体" w:hAnsi="宋体"/>
          <w:color w:val="auto"/>
          <w:sz w:val="24"/>
          <w:highlight w:val="none"/>
          <w:lang w:val="en-US" w:eastAsia="zh-CN"/>
        </w:rPr>
        <w:t>00</w:t>
      </w:r>
      <w:r>
        <w:rPr>
          <w:rFonts w:hint="eastAsia" w:ascii="宋体" w:hAnsi="宋体"/>
          <w:color w:val="auto"/>
          <w:sz w:val="24"/>
          <w:highlight w:val="none"/>
        </w:rPr>
        <w:t>分至</w:t>
      </w:r>
      <w:r>
        <w:rPr>
          <w:rFonts w:hint="eastAsia" w:ascii="宋体" w:hAnsi="宋体"/>
          <w:color w:val="auto"/>
          <w:sz w:val="24"/>
          <w:highlight w:val="none"/>
          <w:lang w:eastAsia="zh-CN"/>
        </w:rPr>
        <w:t>2024年</w:t>
      </w:r>
      <w:r>
        <w:rPr>
          <w:rFonts w:hint="eastAsia" w:ascii="宋体" w:hAnsi="宋体"/>
          <w:color w:val="auto"/>
          <w:sz w:val="24"/>
          <w:highlight w:val="none"/>
          <w:lang w:val="en-US" w:eastAsia="zh-CN"/>
        </w:rPr>
        <w:t>11</w:t>
      </w:r>
      <w:r>
        <w:rPr>
          <w:rFonts w:hint="eastAsia" w:ascii="宋体" w:hAnsi="宋体"/>
          <w:color w:val="auto"/>
          <w:sz w:val="24"/>
          <w:highlight w:val="none"/>
          <w:u w:val="none"/>
          <w:lang w:val="en-US" w:eastAsia="zh-CN"/>
        </w:rPr>
        <w:t>月27日</w:t>
      </w:r>
      <w:r>
        <w:rPr>
          <w:rFonts w:hint="eastAsia" w:ascii="宋体" w:hAnsi="宋体"/>
          <w:color w:val="auto"/>
          <w:sz w:val="24"/>
          <w:highlight w:val="none"/>
          <w:lang w:val="en-US" w:eastAsia="zh-CN"/>
        </w:rPr>
        <w:t>9</w:t>
      </w:r>
      <w:r>
        <w:rPr>
          <w:rFonts w:hint="eastAsia" w:ascii="宋体" w:hAnsi="宋体"/>
          <w:color w:val="auto"/>
          <w:sz w:val="24"/>
          <w:highlight w:val="none"/>
        </w:rPr>
        <w:t>时</w:t>
      </w:r>
      <w:r>
        <w:rPr>
          <w:rFonts w:hint="eastAsia" w:ascii="宋体" w:hAnsi="宋体"/>
          <w:color w:val="auto"/>
          <w:sz w:val="24"/>
          <w:highlight w:val="none"/>
          <w:lang w:val="en-US" w:eastAsia="zh-CN"/>
        </w:rPr>
        <w:t>30</w:t>
      </w:r>
      <w:r>
        <w:rPr>
          <w:rFonts w:hint="eastAsia" w:ascii="宋体" w:hAnsi="宋体"/>
          <w:color w:val="auto"/>
          <w:sz w:val="24"/>
          <w:highlight w:val="none"/>
        </w:rPr>
        <w:t>分，</w:t>
      </w:r>
      <w:r>
        <w:rPr>
          <w:rFonts w:hint="eastAsia" w:ascii="宋体" w:hAnsi="宋体" w:cs="仿宋_GB2312"/>
          <w:color w:val="auto"/>
          <w:kern w:val="0"/>
          <w:sz w:val="24"/>
          <w:highlight w:val="none"/>
        </w:rPr>
        <w:t>逾期送达或未送达指定地点的</w:t>
      </w:r>
      <w:r>
        <w:rPr>
          <w:rFonts w:hint="eastAsia" w:ascii="宋体" w:hAnsi="宋体" w:cs="仿宋_GB2312"/>
          <w:color w:val="auto"/>
          <w:kern w:val="0"/>
          <w:sz w:val="24"/>
          <w:highlight w:val="none"/>
          <w:lang w:eastAsia="zh-CN"/>
        </w:rPr>
        <w:t>竞投</w:t>
      </w:r>
      <w:r>
        <w:rPr>
          <w:rFonts w:hint="eastAsia" w:ascii="宋体" w:hAnsi="宋体" w:cs="仿宋_GB2312"/>
          <w:color w:val="auto"/>
          <w:kern w:val="0"/>
          <w:sz w:val="24"/>
          <w:highlight w:val="none"/>
        </w:rPr>
        <w:t>文件，招标人将不予受理</w:t>
      </w:r>
      <w:r>
        <w:rPr>
          <w:rFonts w:hint="eastAsia" w:ascii="宋体" w:hAnsi="宋体"/>
          <w:color w:val="auto"/>
          <w:sz w:val="24"/>
          <w:highlight w:val="none"/>
        </w:rPr>
        <w:t>）。</w:t>
      </w:r>
    </w:p>
    <w:p w14:paraId="7E59AD1C">
      <w:pPr>
        <w:numPr>
          <w:ilvl w:val="0"/>
          <w:numId w:val="4"/>
        </w:numPr>
        <w:autoSpaceDE w:val="0"/>
        <w:autoSpaceDN w:val="0"/>
        <w:adjustRightInd w:val="0"/>
        <w:snapToGrid w:val="0"/>
        <w:spacing w:line="360" w:lineRule="auto"/>
        <w:ind w:left="0" w:leftChars="0" w:firstLine="0" w:firstLineChars="0"/>
        <w:rPr>
          <w:rFonts w:ascii="宋体" w:hAnsi="宋体" w:cs="宋体"/>
          <w:b/>
          <w:bCs/>
          <w:color w:val="auto"/>
          <w:sz w:val="24"/>
          <w:highlight w:val="none"/>
        </w:rPr>
      </w:pPr>
      <w:r>
        <w:rPr>
          <w:rFonts w:hint="eastAsia" w:ascii="宋体" w:hAnsi="宋体" w:cs="宋体"/>
          <w:b/>
          <w:bCs/>
          <w:color w:val="auto"/>
          <w:sz w:val="24"/>
          <w:highlight w:val="none"/>
        </w:rPr>
        <w:t>公告期限</w:t>
      </w:r>
    </w:p>
    <w:p w14:paraId="7814C9F8">
      <w:pPr>
        <w:autoSpaceDE w:val="0"/>
        <w:autoSpaceDN w:val="0"/>
        <w:adjustRightInd w:val="0"/>
        <w:snapToGrid w:val="0"/>
        <w:spacing w:line="360" w:lineRule="auto"/>
        <w:ind w:firstLine="480" w:firstLineChars="200"/>
        <w:rPr>
          <w:rFonts w:hint="eastAsia" w:ascii="宋体" w:hAnsi="宋体" w:cs="宋体"/>
          <w:color w:val="auto"/>
          <w:kern w:val="0"/>
          <w:sz w:val="24"/>
          <w:highlight w:val="none"/>
        </w:rPr>
      </w:pPr>
      <w:r>
        <w:rPr>
          <w:rFonts w:hint="eastAsia" w:ascii="宋体" w:hAnsi="宋体" w:cs="宋体"/>
          <w:color w:val="auto"/>
          <w:kern w:val="0"/>
          <w:sz w:val="24"/>
          <w:highlight w:val="none"/>
        </w:rPr>
        <w:t>自本公告发布之日起5个工作日。</w:t>
      </w:r>
    </w:p>
    <w:p w14:paraId="6586EAEE">
      <w:pPr>
        <w:numPr>
          <w:ilvl w:val="0"/>
          <w:numId w:val="4"/>
        </w:numPr>
        <w:autoSpaceDE w:val="0"/>
        <w:autoSpaceDN w:val="0"/>
        <w:adjustRightInd w:val="0"/>
        <w:snapToGrid w:val="0"/>
        <w:spacing w:line="360" w:lineRule="auto"/>
        <w:ind w:left="0" w:leftChars="0" w:firstLine="0" w:firstLineChars="0"/>
        <w:rPr>
          <w:rFonts w:hint="default" w:ascii="宋体" w:hAnsi="宋体" w:cs="宋体"/>
          <w:b/>
          <w:bCs/>
          <w:color w:val="auto"/>
          <w:sz w:val="24"/>
          <w:highlight w:val="none"/>
          <w:lang w:val="en-US" w:eastAsia="zh-CN"/>
        </w:rPr>
      </w:pPr>
      <w:r>
        <w:rPr>
          <w:rFonts w:hint="eastAsia" w:ascii="宋体" w:hAnsi="宋体" w:cs="宋体"/>
          <w:b/>
          <w:bCs/>
          <w:color w:val="auto"/>
          <w:sz w:val="24"/>
          <w:highlight w:val="none"/>
          <w:lang w:eastAsia="zh-CN"/>
        </w:rPr>
        <w:t>竞投方式：本项目采用一次性报价的暗标方式，价高者得的原则确定中标人。</w:t>
      </w:r>
      <w:r>
        <w:rPr>
          <w:rFonts w:hint="eastAsia" w:ascii="宋体" w:hAnsi="宋体" w:cs="宋体"/>
          <w:b/>
          <w:bCs/>
          <w:color w:val="auto"/>
          <w:sz w:val="24"/>
          <w:highlight w:val="none"/>
          <w:lang w:val="en-US" w:eastAsia="zh-CN"/>
        </w:rPr>
        <w:t>中标人所报的价格</w:t>
      </w:r>
      <w:r>
        <w:rPr>
          <w:rFonts w:hint="eastAsia" w:ascii="宋体" w:hAnsi="宋体" w:cs="宋体"/>
          <w:b/>
          <w:bCs/>
          <w:color w:val="auto"/>
          <w:sz w:val="24"/>
          <w:highlight w:val="none"/>
          <w:lang w:eastAsia="zh-CN"/>
        </w:rPr>
        <w:t>为向招标人支付管理费用。当有效投标人不足三家时，重新组织招标</w:t>
      </w:r>
      <w:r>
        <w:rPr>
          <w:rFonts w:hint="eastAsia" w:ascii="宋体" w:hAnsi="宋体" w:cs="宋体"/>
          <w:b/>
          <w:bCs/>
          <w:color w:val="auto"/>
          <w:sz w:val="24"/>
          <w:highlight w:val="none"/>
          <w:lang w:val="en-US" w:eastAsia="zh-CN"/>
        </w:rPr>
        <w:t>。</w:t>
      </w:r>
    </w:p>
    <w:p w14:paraId="0C4B5594">
      <w:pPr>
        <w:numPr>
          <w:ilvl w:val="0"/>
          <w:numId w:val="4"/>
        </w:numPr>
        <w:autoSpaceDE w:val="0"/>
        <w:autoSpaceDN w:val="0"/>
        <w:adjustRightInd w:val="0"/>
        <w:snapToGrid w:val="0"/>
        <w:spacing w:line="360" w:lineRule="auto"/>
        <w:ind w:left="0" w:leftChars="0" w:firstLine="0" w:firstLineChars="0"/>
        <w:rPr>
          <w:rFonts w:hint="eastAsia" w:ascii="宋体" w:hAnsi="宋体" w:cs="宋体"/>
          <w:b/>
          <w:bCs/>
          <w:color w:val="auto"/>
          <w:sz w:val="24"/>
          <w:highlight w:val="none"/>
          <w:lang w:eastAsia="zh-CN"/>
        </w:rPr>
      </w:pPr>
      <w:r>
        <w:rPr>
          <w:rFonts w:hint="eastAsia" w:ascii="宋体" w:hAnsi="宋体" w:cs="宋体"/>
          <w:b/>
          <w:bCs/>
          <w:color w:val="auto"/>
          <w:sz w:val="24"/>
          <w:highlight w:val="none"/>
          <w:lang w:eastAsia="zh-CN"/>
        </w:rPr>
        <w:t>对本次招标提出询问，请按以下方式联系</w:t>
      </w:r>
    </w:p>
    <w:p w14:paraId="31B5AE96">
      <w:pPr>
        <w:adjustRightInd w:val="0"/>
        <w:snapToGrid w:val="0"/>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1、</w:t>
      </w:r>
      <w:r>
        <w:rPr>
          <w:rFonts w:hint="eastAsia" w:ascii="宋体" w:hAnsi="宋体" w:cs="宋体"/>
          <w:color w:val="auto"/>
          <w:sz w:val="24"/>
          <w:szCs w:val="24"/>
          <w:highlight w:val="none"/>
          <w:lang w:eastAsia="zh-CN"/>
        </w:rPr>
        <w:t>招标人</w:t>
      </w:r>
      <w:r>
        <w:rPr>
          <w:rFonts w:hint="eastAsia" w:ascii="宋体" w:hAnsi="宋体" w:cs="宋体"/>
          <w:color w:val="auto"/>
          <w:sz w:val="24"/>
          <w:szCs w:val="24"/>
          <w:highlight w:val="none"/>
        </w:rPr>
        <w:t>信息</w:t>
      </w:r>
    </w:p>
    <w:p w14:paraId="3F9097C1">
      <w:pPr>
        <w:spacing w:line="360" w:lineRule="auto"/>
        <w:ind w:firstLine="480" w:firstLineChars="200"/>
        <w:rPr>
          <w:rFonts w:hint="eastAsia" w:ascii="宋体" w:hAnsi="宋体" w:eastAsia="宋体"/>
          <w:color w:val="auto"/>
          <w:sz w:val="24"/>
          <w:szCs w:val="24"/>
          <w:highlight w:val="none"/>
          <w:lang w:eastAsia="zh-CN"/>
        </w:rPr>
      </w:pPr>
      <w:r>
        <w:rPr>
          <w:rFonts w:hint="eastAsia" w:ascii="宋体" w:hAnsi="宋体"/>
          <w:color w:val="auto"/>
          <w:sz w:val="24"/>
          <w:szCs w:val="24"/>
          <w:highlight w:val="none"/>
        </w:rPr>
        <w:t>名称：</w:t>
      </w:r>
      <w:r>
        <w:rPr>
          <w:rFonts w:hint="eastAsia" w:ascii="宋体" w:hAnsi="宋体"/>
          <w:color w:val="auto"/>
          <w:sz w:val="24"/>
          <w:szCs w:val="24"/>
          <w:highlight w:val="none"/>
          <w:lang w:eastAsia="zh-CN"/>
        </w:rPr>
        <w:t>佛山市禅城区南庄镇吉利村邓岗经济合作社</w:t>
      </w:r>
    </w:p>
    <w:p w14:paraId="266801E2">
      <w:pPr>
        <w:spacing w:line="360" w:lineRule="auto"/>
        <w:ind w:firstLine="480" w:firstLineChars="200"/>
        <w:rPr>
          <w:rFonts w:hint="eastAsia" w:ascii="宋体" w:hAnsi="宋体"/>
          <w:color w:val="auto"/>
          <w:sz w:val="24"/>
          <w:szCs w:val="24"/>
          <w:highlight w:val="none"/>
        </w:rPr>
      </w:pPr>
      <w:r>
        <w:rPr>
          <w:rFonts w:hint="eastAsia" w:ascii="宋体" w:hAnsi="宋体"/>
          <w:color w:val="auto"/>
          <w:sz w:val="24"/>
          <w:szCs w:val="24"/>
          <w:highlight w:val="none"/>
        </w:rPr>
        <w:t>地址：佛山市禅城区南庄镇</w:t>
      </w:r>
      <w:r>
        <w:rPr>
          <w:rFonts w:hint="eastAsia" w:ascii="宋体" w:hAnsi="宋体"/>
          <w:color w:val="auto"/>
          <w:sz w:val="24"/>
          <w:szCs w:val="24"/>
          <w:highlight w:val="none"/>
          <w:lang w:val="en-US" w:eastAsia="zh-CN"/>
        </w:rPr>
        <w:t>吉利村</w:t>
      </w:r>
    </w:p>
    <w:p w14:paraId="4F12BE8A">
      <w:pPr>
        <w:spacing w:line="360" w:lineRule="auto"/>
        <w:ind w:firstLine="480" w:firstLineChars="200"/>
        <w:rPr>
          <w:rFonts w:hint="eastAsia" w:ascii="宋体" w:hAnsi="宋体" w:eastAsia="宋体"/>
          <w:color w:val="auto"/>
          <w:sz w:val="24"/>
          <w:szCs w:val="24"/>
          <w:highlight w:val="none"/>
          <w:lang w:eastAsia="zh-CN"/>
        </w:rPr>
      </w:pPr>
      <w:r>
        <w:rPr>
          <w:rFonts w:hint="eastAsia" w:ascii="宋体" w:hAnsi="宋体"/>
          <w:color w:val="auto"/>
          <w:sz w:val="24"/>
          <w:szCs w:val="24"/>
          <w:highlight w:val="none"/>
        </w:rPr>
        <w:t>联系</w:t>
      </w:r>
      <w:r>
        <w:rPr>
          <w:rFonts w:hint="eastAsia" w:ascii="宋体" w:hAnsi="宋体"/>
          <w:color w:val="auto"/>
          <w:sz w:val="24"/>
          <w:szCs w:val="24"/>
          <w:highlight w:val="none"/>
          <w:lang w:eastAsia="zh-CN"/>
        </w:rPr>
        <w:t>人</w:t>
      </w:r>
      <w:r>
        <w:rPr>
          <w:rFonts w:hint="eastAsia" w:ascii="宋体" w:hAnsi="宋体"/>
          <w:color w:val="auto"/>
          <w:sz w:val="24"/>
          <w:szCs w:val="24"/>
          <w:highlight w:val="none"/>
        </w:rPr>
        <w:t>：</w:t>
      </w:r>
      <w:r>
        <w:rPr>
          <w:rFonts w:hint="eastAsia" w:ascii="宋体" w:hAnsi="宋体"/>
          <w:color w:val="auto"/>
          <w:sz w:val="24"/>
          <w:szCs w:val="24"/>
          <w:highlight w:val="none"/>
          <w:lang w:eastAsia="zh-CN"/>
        </w:rPr>
        <w:t>关先生</w:t>
      </w:r>
    </w:p>
    <w:p w14:paraId="274427DC">
      <w:pPr>
        <w:ind w:firstLine="480" w:firstLineChars="200"/>
        <w:outlineLvl w:val="9"/>
        <w:rPr>
          <w:rFonts w:hint="eastAsia" w:ascii="宋体" w:hAnsi="宋体" w:eastAsia="宋体"/>
          <w:color w:val="auto"/>
          <w:sz w:val="24"/>
          <w:szCs w:val="24"/>
          <w:highlight w:val="none"/>
          <w:lang w:val="en-US" w:eastAsia="zh-CN"/>
        </w:rPr>
      </w:pPr>
      <w:bookmarkStart w:id="11" w:name="_Toc24077"/>
      <w:r>
        <w:rPr>
          <w:rFonts w:hint="eastAsia" w:ascii="宋体" w:hAnsi="宋体"/>
          <w:color w:val="auto"/>
          <w:sz w:val="24"/>
          <w:szCs w:val="24"/>
          <w:highlight w:val="none"/>
        </w:rPr>
        <w:t>联系方式：</w:t>
      </w:r>
      <w:bookmarkEnd w:id="11"/>
      <w:r>
        <w:rPr>
          <w:rFonts w:hint="eastAsia" w:ascii="宋体" w:hAnsi="宋体"/>
          <w:color w:val="auto"/>
          <w:sz w:val="24"/>
          <w:szCs w:val="24"/>
          <w:highlight w:val="none"/>
          <w:lang w:eastAsia="zh-CN"/>
        </w:rPr>
        <w:t>0757-85398026</w:t>
      </w:r>
    </w:p>
    <w:p w14:paraId="6676C54B">
      <w:pPr>
        <w:ind w:firstLine="480" w:firstLineChars="200"/>
        <w:outlineLvl w:val="9"/>
        <w:rPr>
          <w:rFonts w:hint="default" w:ascii="宋体" w:hAnsi="宋体"/>
          <w:color w:val="auto"/>
          <w:sz w:val="24"/>
          <w:szCs w:val="24"/>
          <w:highlight w:val="none"/>
          <w:lang w:val="en-US" w:eastAsia="zh-CN"/>
        </w:rPr>
      </w:pPr>
    </w:p>
    <w:p w14:paraId="1D21FCBF">
      <w:pPr>
        <w:spacing w:line="360" w:lineRule="auto"/>
        <w:ind w:firstLine="480" w:firstLineChars="200"/>
        <w:jc w:val="left"/>
        <w:rPr>
          <w:rFonts w:hint="eastAsia" w:ascii="宋体" w:hAnsi="宋体"/>
          <w:color w:val="auto"/>
          <w:sz w:val="24"/>
          <w:szCs w:val="24"/>
          <w:highlight w:val="none"/>
        </w:rPr>
      </w:pPr>
      <w:r>
        <w:rPr>
          <w:rFonts w:hint="eastAsia" w:ascii="宋体" w:hAnsi="宋体"/>
          <w:color w:val="auto"/>
          <w:sz w:val="24"/>
          <w:szCs w:val="24"/>
          <w:highlight w:val="none"/>
        </w:rPr>
        <w:t>2.</w:t>
      </w:r>
      <w:r>
        <w:rPr>
          <w:rFonts w:hint="eastAsia" w:ascii="宋体" w:hAnsi="宋体"/>
          <w:color w:val="auto"/>
          <w:sz w:val="24"/>
          <w:szCs w:val="24"/>
          <w:highlight w:val="none"/>
          <w:lang w:eastAsia="zh-CN"/>
        </w:rPr>
        <w:t>招标代理机构</w:t>
      </w:r>
      <w:r>
        <w:rPr>
          <w:rFonts w:hint="eastAsia" w:ascii="宋体" w:hAnsi="宋体"/>
          <w:color w:val="auto"/>
          <w:sz w:val="24"/>
          <w:szCs w:val="24"/>
          <w:highlight w:val="none"/>
        </w:rPr>
        <w:t>信息</w:t>
      </w:r>
    </w:p>
    <w:p w14:paraId="5439557B">
      <w:pPr>
        <w:spacing w:line="360" w:lineRule="auto"/>
        <w:ind w:firstLine="480" w:firstLineChars="200"/>
        <w:jc w:val="left"/>
        <w:rPr>
          <w:rFonts w:hint="eastAsia" w:ascii="宋体" w:hAnsi="宋体" w:eastAsia="宋体"/>
          <w:color w:val="auto"/>
          <w:sz w:val="24"/>
          <w:szCs w:val="24"/>
          <w:highlight w:val="none"/>
          <w:lang w:eastAsia="zh-CN"/>
        </w:rPr>
      </w:pPr>
      <w:r>
        <w:rPr>
          <w:rFonts w:hint="eastAsia" w:ascii="宋体" w:hAnsi="宋体"/>
          <w:color w:val="auto"/>
          <w:sz w:val="24"/>
          <w:szCs w:val="24"/>
          <w:highlight w:val="none"/>
        </w:rPr>
        <w:t>名称：</w:t>
      </w:r>
      <w:r>
        <w:rPr>
          <w:rFonts w:hint="eastAsia" w:ascii="宋体" w:hAnsi="宋体"/>
          <w:color w:val="auto"/>
          <w:sz w:val="24"/>
          <w:szCs w:val="24"/>
          <w:highlight w:val="none"/>
          <w:lang w:eastAsia="zh-CN"/>
        </w:rPr>
        <w:t>广东中采招标有限公司</w:t>
      </w:r>
    </w:p>
    <w:p w14:paraId="25F3C006">
      <w:pPr>
        <w:spacing w:line="360" w:lineRule="auto"/>
        <w:ind w:firstLine="480" w:firstLineChars="200"/>
        <w:jc w:val="left"/>
        <w:rPr>
          <w:rFonts w:hint="eastAsia" w:ascii="宋体" w:hAnsi="宋体" w:eastAsia="宋体"/>
          <w:color w:val="auto"/>
          <w:sz w:val="24"/>
          <w:szCs w:val="24"/>
          <w:highlight w:val="none"/>
          <w:lang w:eastAsia="zh-CN"/>
        </w:rPr>
      </w:pPr>
      <w:r>
        <w:rPr>
          <w:rFonts w:hint="eastAsia" w:ascii="宋体" w:hAnsi="宋体"/>
          <w:color w:val="auto"/>
          <w:sz w:val="24"/>
          <w:szCs w:val="24"/>
          <w:highlight w:val="none"/>
        </w:rPr>
        <w:t>地址：</w:t>
      </w:r>
      <w:r>
        <w:rPr>
          <w:rFonts w:hint="eastAsia" w:ascii="宋体" w:hAnsi="宋体"/>
          <w:color w:val="auto"/>
          <w:sz w:val="24"/>
          <w:szCs w:val="24"/>
          <w:highlight w:val="none"/>
          <w:lang w:eastAsia="zh-CN"/>
        </w:rPr>
        <w:t>佛山市禅城区文华北路223号之一栋5层525、526、527单元</w:t>
      </w:r>
    </w:p>
    <w:p w14:paraId="28980011">
      <w:pPr>
        <w:spacing w:line="360" w:lineRule="auto"/>
        <w:ind w:firstLine="480" w:firstLineChars="200"/>
        <w:jc w:val="left"/>
        <w:rPr>
          <w:rFonts w:hint="eastAsia" w:ascii="宋体" w:hAnsi="宋体" w:eastAsia="宋体"/>
          <w:color w:val="auto"/>
          <w:sz w:val="24"/>
          <w:szCs w:val="24"/>
          <w:highlight w:val="none"/>
          <w:lang w:eastAsia="zh-CN"/>
        </w:rPr>
      </w:pPr>
      <w:r>
        <w:rPr>
          <w:rFonts w:hint="eastAsia" w:ascii="宋体" w:hAnsi="宋体"/>
          <w:color w:val="auto"/>
          <w:sz w:val="24"/>
          <w:szCs w:val="24"/>
          <w:highlight w:val="none"/>
        </w:rPr>
        <w:t>联系方式：</w:t>
      </w:r>
      <w:r>
        <w:rPr>
          <w:rFonts w:hint="eastAsia" w:ascii="宋体" w:hAnsi="宋体"/>
          <w:color w:val="auto"/>
          <w:sz w:val="24"/>
          <w:szCs w:val="24"/>
          <w:highlight w:val="none"/>
          <w:lang w:val="en-US" w:eastAsia="zh-CN"/>
        </w:rPr>
        <w:t>0757-81993027</w:t>
      </w:r>
    </w:p>
    <w:p w14:paraId="7D960061">
      <w:pPr>
        <w:spacing w:line="360" w:lineRule="auto"/>
        <w:ind w:firstLine="480" w:firstLineChars="200"/>
        <w:jc w:val="left"/>
        <w:rPr>
          <w:rFonts w:hint="eastAsia" w:ascii="宋体" w:hAnsi="宋体"/>
          <w:color w:val="auto"/>
          <w:sz w:val="24"/>
          <w:szCs w:val="24"/>
          <w:highlight w:val="none"/>
        </w:rPr>
      </w:pPr>
      <w:r>
        <w:rPr>
          <w:rFonts w:hint="eastAsia" w:ascii="宋体" w:hAnsi="宋体"/>
          <w:color w:val="auto"/>
          <w:sz w:val="24"/>
          <w:szCs w:val="24"/>
          <w:highlight w:val="none"/>
        </w:rPr>
        <w:t>3.项目联系方式</w:t>
      </w:r>
    </w:p>
    <w:p w14:paraId="28191354">
      <w:pPr>
        <w:spacing w:line="360" w:lineRule="auto"/>
        <w:ind w:firstLine="480" w:firstLineChars="200"/>
        <w:jc w:val="left"/>
        <w:rPr>
          <w:rFonts w:hint="eastAsia" w:ascii="宋体" w:hAnsi="宋体"/>
          <w:color w:val="auto"/>
          <w:sz w:val="24"/>
          <w:szCs w:val="24"/>
          <w:highlight w:val="none"/>
        </w:rPr>
      </w:pPr>
      <w:r>
        <w:rPr>
          <w:rFonts w:hint="eastAsia" w:ascii="宋体" w:hAnsi="宋体"/>
          <w:color w:val="auto"/>
          <w:sz w:val="24"/>
          <w:szCs w:val="24"/>
          <w:highlight w:val="none"/>
        </w:rPr>
        <w:t>项目联系人：</w:t>
      </w:r>
      <w:r>
        <w:rPr>
          <w:rFonts w:hint="eastAsia" w:ascii="宋体" w:hAnsi="宋体"/>
          <w:color w:val="auto"/>
          <w:sz w:val="24"/>
          <w:szCs w:val="24"/>
          <w:highlight w:val="none"/>
          <w:lang w:val="en-US" w:eastAsia="zh-CN"/>
        </w:rPr>
        <w:t>夏</w:t>
      </w:r>
      <w:r>
        <w:rPr>
          <w:rFonts w:hint="eastAsia" w:ascii="宋体" w:hAnsi="宋体"/>
          <w:color w:val="auto"/>
          <w:sz w:val="24"/>
          <w:szCs w:val="24"/>
          <w:highlight w:val="none"/>
        </w:rPr>
        <w:t>先生</w:t>
      </w:r>
    </w:p>
    <w:p w14:paraId="0E9F6562">
      <w:pPr>
        <w:spacing w:line="360" w:lineRule="auto"/>
        <w:ind w:firstLine="480" w:firstLineChars="200"/>
        <w:jc w:val="left"/>
        <w:rPr>
          <w:rFonts w:hint="eastAsia" w:ascii="宋体" w:hAnsi="宋体"/>
          <w:color w:val="auto"/>
          <w:sz w:val="24"/>
          <w:szCs w:val="24"/>
          <w:highlight w:val="none"/>
        </w:rPr>
      </w:pPr>
      <w:r>
        <w:rPr>
          <w:rFonts w:hint="eastAsia" w:ascii="宋体" w:hAnsi="宋体"/>
          <w:color w:val="auto"/>
          <w:sz w:val="24"/>
          <w:szCs w:val="24"/>
          <w:highlight w:val="none"/>
        </w:rPr>
        <w:t>联系方式：</w:t>
      </w:r>
      <w:r>
        <w:rPr>
          <w:rFonts w:hint="eastAsia" w:ascii="宋体" w:hAnsi="宋体"/>
          <w:color w:val="auto"/>
          <w:sz w:val="24"/>
          <w:szCs w:val="24"/>
          <w:highlight w:val="none"/>
          <w:lang w:val="en-US" w:eastAsia="zh-CN"/>
        </w:rPr>
        <w:t>0757-81993027</w:t>
      </w:r>
    </w:p>
    <w:p w14:paraId="45340A2C">
      <w:pPr>
        <w:spacing w:line="360" w:lineRule="auto"/>
        <w:ind w:firstLine="480" w:firstLineChars="200"/>
        <w:jc w:val="left"/>
        <w:rPr>
          <w:rFonts w:hint="eastAsia" w:ascii="宋体" w:eastAsia="宋体"/>
          <w:color w:val="auto"/>
          <w:sz w:val="24"/>
          <w:highlight w:val="none"/>
          <w:lang w:eastAsia="zh-CN"/>
        </w:rPr>
      </w:pPr>
    </w:p>
    <w:p w14:paraId="2E49A731">
      <w:pPr>
        <w:spacing w:after="72" w:afterLines="30" w:line="360" w:lineRule="auto"/>
        <w:ind w:firstLine="540" w:firstLineChars="225"/>
        <w:jc w:val="right"/>
        <w:rPr>
          <w:rFonts w:hint="eastAsia" w:ascii="宋体" w:eastAsia="宋体"/>
          <w:color w:val="auto"/>
          <w:sz w:val="24"/>
          <w:highlight w:val="none"/>
          <w:lang w:eastAsia="zh-CN"/>
        </w:rPr>
      </w:pPr>
      <w:r>
        <w:rPr>
          <w:rFonts w:hint="eastAsia" w:ascii="宋体" w:hAnsi="宋体"/>
          <w:color w:val="auto"/>
          <w:sz w:val="24"/>
          <w:highlight w:val="none"/>
          <w:lang w:eastAsia="zh-CN"/>
        </w:rPr>
        <w:t>广东中采招标有限公司</w:t>
      </w:r>
    </w:p>
    <w:p w14:paraId="1FA067BA">
      <w:pPr>
        <w:spacing w:after="72" w:afterLines="30" w:line="360" w:lineRule="auto"/>
        <w:ind w:firstLine="540" w:firstLineChars="225"/>
        <w:jc w:val="right"/>
        <w:rPr>
          <w:rFonts w:hint="eastAsia" w:ascii="宋体" w:hAnsi="宋体"/>
          <w:color w:val="auto"/>
          <w:sz w:val="24"/>
          <w:highlight w:val="none"/>
          <w:u w:val="none"/>
        </w:rPr>
      </w:pPr>
      <w:r>
        <w:rPr>
          <w:rFonts w:hint="eastAsia" w:ascii="宋体" w:hAnsi="宋体"/>
          <w:color w:val="auto"/>
          <w:sz w:val="24"/>
          <w:highlight w:val="none"/>
          <w:lang w:eastAsia="zh-CN"/>
        </w:rPr>
        <w:t>2024年</w:t>
      </w:r>
      <w:bookmarkStart w:id="12" w:name="_Toc334432587"/>
      <w:r>
        <w:rPr>
          <w:rFonts w:hint="eastAsia" w:ascii="宋体" w:hAnsi="宋体"/>
          <w:color w:val="auto"/>
          <w:sz w:val="24"/>
          <w:highlight w:val="none"/>
          <w:lang w:val="en-US" w:eastAsia="zh-CN"/>
        </w:rPr>
        <w:t>11</w:t>
      </w:r>
      <w:r>
        <w:rPr>
          <w:rFonts w:hint="eastAsia" w:ascii="宋体" w:hAnsi="宋体"/>
          <w:color w:val="auto"/>
          <w:sz w:val="24"/>
          <w:highlight w:val="none"/>
          <w:u w:val="none"/>
        </w:rPr>
        <w:t>月</w:t>
      </w:r>
      <w:r>
        <w:rPr>
          <w:rFonts w:hint="eastAsia" w:ascii="宋体" w:hAnsi="宋体"/>
          <w:color w:val="auto"/>
          <w:sz w:val="24"/>
          <w:highlight w:val="none"/>
          <w:u w:val="none"/>
          <w:lang w:val="en-US" w:eastAsia="zh-CN"/>
        </w:rPr>
        <w:t>19</w:t>
      </w:r>
      <w:r>
        <w:rPr>
          <w:rFonts w:hint="eastAsia" w:ascii="宋体" w:hAnsi="宋体"/>
          <w:color w:val="auto"/>
          <w:sz w:val="24"/>
          <w:highlight w:val="none"/>
          <w:u w:val="none"/>
        </w:rPr>
        <w:t>日</w:t>
      </w:r>
    </w:p>
    <w:p w14:paraId="18754233">
      <w:pPr>
        <w:rPr>
          <w:rFonts w:hint="eastAsia" w:ascii="宋体" w:hAnsi="宋体"/>
          <w:color w:val="auto"/>
          <w:sz w:val="24"/>
          <w:highlight w:val="none"/>
          <w:u w:val="none"/>
        </w:rPr>
      </w:pPr>
      <w:r>
        <w:rPr>
          <w:rFonts w:hint="eastAsia" w:ascii="宋体" w:hAnsi="宋体"/>
          <w:color w:val="auto"/>
          <w:sz w:val="24"/>
          <w:highlight w:val="none"/>
          <w:u w:val="none"/>
        </w:rPr>
        <w:br w:type="page"/>
      </w:r>
    </w:p>
    <w:p w14:paraId="6E6B0EB2">
      <w:pPr>
        <w:pStyle w:val="2"/>
        <w:rPr>
          <w:highlight w:val="none"/>
        </w:rPr>
        <w:sectPr>
          <w:footerReference r:id="rId5" w:type="default"/>
          <w:pgSz w:w="11850" w:h="16783"/>
          <w:pgMar w:top="1134" w:right="1134" w:bottom="1134" w:left="1417" w:header="573" w:footer="584" w:gutter="0"/>
          <w:pgBorders>
            <w:top w:val="none" w:sz="0" w:space="0"/>
            <w:left w:val="none" w:sz="0" w:space="0"/>
            <w:bottom w:val="none" w:sz="0" w:space="0"/>
            <w:right w:val="none" w:sz="0" w:space="0"/>
          </w:pgBorders>
          <w:pgNumType w:fmt="decimal"/>
          <w:cols w:space="0" w:num="1"/>
          <w:rtlGutter w:val="0"/>
          <w:docGrid w:linePitch="0" w:charSpace="0"/>
        </w:sectPr>
      </w:pPr>
    </w:p>
    <w:p w14:paraId="3DBA738E">
      <w:pPr>
        <w:spacing w:after="120" w:afterLines="50" w:line="360" w:lineRule="auto"/>
        <w:jc w:val="center"/>
        <w:outlineLvl w:val="0"/>
        <w:rPr>
          <w:rFonts w:hint="eastAsia" w:ascii="宋体" w:hAnsi="宋体"/>
          <w:b/>
          <w:color w:val="auto"/>
          <w:sz w:val="36"/>
          <w:szCs w:val="36"/>
          <w:highlight w:val="none"/>
        </w:rPr>
      </w:pPr>
      <w:bookmarkStart w:id="13" w:name="_Toc21591"/>
      <w:bookmarkStart w:id="14" w:name="_Toc24772"/>
      <w:bookmarkStart w:id="15" w:name="_Toc7214"/>
      <w:bookmarkStart w:id="16" w:name="_Toc19575"/>
      <w:r>
        <w:rPr>
          <w:rFonts w:hint="eastAsia" w:ascii="宋体" w:hAnsi="宋体"/>
          <w:b/>
          <w:color w:val="auto"/>
          <w:sz w:val="36"/>
          <w:szCs w:val="36"/>
          <w:highlight w:val="none"/>
          <w:lang w:val="en-US" w:eastAsia="zh-CN"/>
        </w:rPr>
        <w:t xml:space="preserve">第二部分  </w:t>
      </w:r>
      <w:r>
        <w:rPr>
          <w:rFonts w:hint="eastAsia" w:ascii="宋体" w:hAnsi="宋体"/>
          <w:b/>
          <w:color w:val="auto"/>
          <w:sz w:val="36"/>
          <w:szCs w:val="36"/>
          <w:highlight w:val="none"/>
        </w:rPr>
        <w:t>项目内容</w:t>
      </w:r>
      <w:bookmarkEnd w:id="12"/>
      <w:bookmarkEnd w:id="13"/>
      <w:bookmarkEnd w:id="14"/>
      <w:bookmarkEnd w:id="15"/>
      <w:bookmarkEnd w:id="16"/>
      <w:bookmarkStart w:id="17" w:name="_Toc13772"/>
      <w:bookmarkEnd w:id="17"/>
      <w:bookmarkStart w:id="18" w:name="_Toc9845"/>
      <w:bookmarkStart w:id="19" w:name="_Toc11502"/>
      <w:bookmarkStart w:id="20" w:name="_Toc31874"/>
    </w:p>
    <w:p w14:paraId="1C177134">
      <w:pPr>
        <w:pStyle w:val="6"/>
        <w:rPr>
          <w:highlight w:val="none"/>
        </w:rPr>
      </w:pPr>
    </w:p>
    <w:p w14:paraId="0270F14F">
      <w:pPr>
        <w:widowControl/>
        <w:numPr>
          <w:ilvl w:val="0"/>
          <w:numId w:val="0"/>
        </w:numPr>
        <w:spacing w:line="360" w:lineRule="auto"/>
        <w:jc w:val="center"/>
        <w:outlineLvl w:val="0"/>
        <w:rPr>
          <w:b/>
          <w:color w:val="auto"/>
          <w:sz w:val="32"/>
          <w:highlight w:val="none"/>
        </w:rPr>
      </w:pPr>
      <w:bookmarkStart w:id="21" w:name="_Toc5219"/>
      <w:r>
        <w:rPr>
          <w:rFonts w:hint="eastAsia"/>
          <w:b/>
          <w:color w:val="auto"/>
          <w:sz w:val="32"/>
          <w:highlight w:val="none"/>
        </w:rPr>
        <w:t>一、</w:t>
      </w:r>
      <w:r>
        <w:rPr>
          <w:rFonts w:hint="eastAsia"/>
          <w:b/>
          <w:color w:val="auto"/>
          <w:sz w:val="32"/>
          <w:highlight w:val="none"/>
          <w:lang w:eastAsia="zh-CN"/>
        </w:rPr>
        <w:t>投标</w:t>
      </w:r>
      <w:r>
        <w:rPr>
          <w:rFonts w:hint="eastAsia"/>
          <w:b/>
          <w:color w:val="auto"/>
          <w:sz w:val="32"/>
          <w:highlight w:val="none"/>
        </w:rPr>
        <w:t>人资格要求</w:t>
      </w:r>
      <w:bookmarkEnd w:id="18"/>
      <w:bookmarkEnd w:id="19"/>
      <w:bookmarkEnd w:id="20"/>
      <w:bookmarkEnd w:id="21"/>
    </w:p>
    <w:p w14:paraId="1802D2E7">
      <w:pPr>
        <w:keepNext w:val="0"/>
        <w:keepLines w:val="0"/>
        <w:pageBreakBefore w:val="0"/>
        <w:widowControl w:val="0"/>
        <w:numPr>
          <w:ilvl w:val="0"/>
          <w:numId w:val="9"/>
        </w:numPr>
        <w:kinsoku/>
        <w:wordWrap/>
        <w:overflowPunct/>
        <w:topLinePunct w:val="0"/>
        <w:autoSpaceDE/>
        <w:autoSpaceDN w:val="0"/>
        <w:bidi w:val="0"/>
        <w:adjustRightInd/>
        <w:snapToGrid/>
        <w:spacing w:after="181" w:afterLines="50" w:line="360" w:lineRule="auto"/>
        <w:ind w:left="425" w:leftChars="0" w:hanging="6" w:firstLineChars="0"/>
        <w:jc w:val="left"/>
        <w:textAlignment w:val="auto"/>
        <w:rPr>
          <w:rFonts w:hint="eastAsia" w:ascii="宋体" w:hAnsi="宋体"/>
          <w:color w:val="auto"/>
          <w:sz w:val="24"/>
          <w:highlight w:val="none"/>
          <w:lang w:val="en-US" w:eastAsia="zh-CN"/>
        </w:rPr>
      </w:pPr>
      <w:r>
        <w:rPr>
          <w:rFonts w:hint="eastAsia" w:ascii="宋体" w:hAnsi="宋体"/>
          <w:color w:val="auto"/>
          <w:sz w:val="24"/>
          <w:highlight w:val="none"/>
          <w:lang w:val="en-US" w:eastAsia="zh-CN"/>
        </w:rPr>
        <w:t>投标人须具有独立法人资格，营业执照处于有效内。</w:t>
      </w:r>
    </w:p>
    <w:p w14:paraId="60A4084E">
      <w:pPr>
        <w:keepNext w:val="0"/>
        <w:keepLines w:val="0"/>
        <w:pageBreakBefore w:val="0"/>
        <w:widowControl w:val="0"/>
        <w:numPr>
          <w:ilvl w:val="0"/>
          <w:numId w:val="9"/>
        </w:numPr>
        <w:kinsoku/>
        <w:wordWrap/>
        <w:overflowPunct/>
        <w:topLinePunct w:val="0"/>
        <w:autoSpaceDE/>
        <w:autoSpaceDN w:val="0"/>
        <w:bidi w:val="0"/>
        <w:adjustRightInd/>
        <w:snapToGrid/>
        <w:spacing w:after="181" w:afterLines="50" w:line="360" w:lineRule="auto"/>
        <w:ind w:left="425" w:leftChars="0" w:hanging="6" w:firstLineChars="0"/>
        <w:jc w:val="left"/>
        <w:textAlignment w:val="auto"/>
        <w:rPr>
          <w:rFonts w:hint="eastAsia" w:ascii="宋体" w:hAnsi="宋体"/>
          <w:color w:val="auto"/>
          <w:sz w:val="24"/>
          <w:highlight w:val="none"/>
          <w:lang w:eastAsia="zh-CN"/>
        </w:rPr>
      </w:pPr>
      <w:r>
        <w:rPr>
          <w:rFonts w:hint="eastAsia" w:ascii="宋体" w:hAnsi="宋体"/>
          <w:color w:val="auto"/>
          <w:sz w:val="24"/>
          <w:highlight w:val="none"/>
          <w:lang w:eastAsia="zh-CN"/>
        </w:rPr>
        <w:t>本项目不接受联合体竞投。</w:t>
      </w:r>
    </w:p>
    <w:p w14:paraId="6DEFAD6A">
      <w:pPr>
        <w:keepNext w:val="0"/>
        <w:keepLines w:val="0"/>
        <w:pageBreakBefore w:val="0"/>
        <w:widowControl w:val="0"/>
        <w:numPr>
          <w:ilvl w:val="0"/>
          <w:numId w:val="9"/>
        </w:numPr>
        <w:kinsoku/>
        <w:wordWrap/>
        <w:overflowPunct/>
        <w:topLinePunct w:val="0"/>
        <w:autoSpaceDE/>
        <w:autoSpaceDN w:val="0"/>
        <w:bidi w:val="0"/>
        <w:adjustRightInd/>
        <w:snapToGrid/>
        <w:spacing w:line="360" w:lineRule="auto"/>
        <w:ind w:left="425" w:leftChars="0" w:hanging="6" w:firstLineChars="0"/>
        <w:jc w:val="left"/>
        <w:textAlignment w:val="auto"/>
        <w:rPr>
          <w:rFonts w:hint="eastAsia" w:ascii="宋体" w:hAnsi="宋体"/>
          <w:color w:val="auto"/>
          <w:sz w:val="24"/>
          <w:highlight w:val="none"/>
          <w:lang w:eastAsia="zh-CN"/>
        </w:rPr>
      </w:pPr>
      <w:r>
        <w:rPr>
          <w:rFonts w:hint="eastAsia" w:ascii="宋体" w:hAnsi="宋体"/>
          <w:color w:val="auto"/>
          <w:sz w:val="24"/>
          <w:highlight w:val="none"/>
          <w:lang w:eastAsia="zh-CN"/>
        </w:rPr>
        <w:t>法律、行政法规规定的其他条件：</w:t>
      </w:r>
    </w:p>
    <w:p w14:paraId="761FB9F6">
      <w:pPr>
        <w:keepNext w:val="0"/>
        <w:keepLines w:val="0"/>
        <w:pageBreakBefore w:val="0"/>
        <w:widowControl w:val="0"/>
        <w:numPr>
          <w:ilvl w:val="0"/>
          <w:numId w:val="10"/>
        </w:numPr>
        <w:kinsoku/>
        <w:wordWrap/>
        <w:overflowPunct/>
        <w:topLinePunct w:val="0"/>
        <w:autoSpaceDE/>
        <w:autoSpaceDN w:val="0"/>
        <w:bidi w:val="0"/>
        <w:adjustRightInd/>
        <w:snapToGrid/>
        <w:spacing w:after="181" w:afterLines="50" w:line="360" w:lineRule="auto"/>
        <w:ind w:left="425" w:leftChars="0" w:hanging="6" w:firstLineChars="0"/>
        <w:jc w:val="left"/>
        <w:textAlignment w:val="auto"/>
        <w:rPr>
          <w:rFonts w:hint="eastAsia" w:ascii="宋体" w:hAnsi="宋体"/>
          <w:color w:val="auto"/>
          <w:sz w:val="24"/>
          <w:highlight w:val="none"/>
          <w:lang w:eastAsia="zh-CN"/>
        </w:rPr>
      </w:pPr>
      <w:r>
        <w:rPr>
          <w:rFonts w:hint="eastAsia" w:ascii="宋体" w:hAnsi="宋体"/>
          <w:color w:val="auto"/>
          <w:sz w:val="24"/>
          <w:highlight w:val="none"/>
          <w:lang w:eastAsia="zh-CN"/>
        </w:rPr>
        <w:t>单位负责人为同一人或者存在控股、管理关系的不同单位，不得参与同一标段投标或者未划分标段的同一招标项目投标（提供《竞投承诺函》）；</w:t>
      </w:r>
    </w:p>
    <w:p w14:paraId="2D03D09F">
      <w:pPr>
        <w:keepNext w:val="0"/>
        <w:keepLines w:val="0"/>
        <w:pageBreakBefore w:val="0"/>
        <w:widowControl w:val="0"/>
        <w:numPr>
          <w:ilvl w:val="0"/>
          <w:numId w:val="10"/>
        </w:numPr>
        <w:kinsoku/>
        <w:wordWrap/>
        <w:overflowPunct/>
        <w:topLinePunct w:val="0"/>
        <w:autoSpaceDE/>
        <w:autoSpaceDN w:val="0"/>
        <w:bidi w:val="0"/>
        <w:adjustRightInd/>
        <w:snapToGrid/>
        <w:spacing w:after="181" w:afterLines="50" w:line="360" w:lineRule="auto"/>
        <w:ind w:left="425" w:leftChars="0" w:hanging="6" w:firstLineChars="0"/>
        <w:jc w:val="left"/>
        <w:textAlignment w:val="auto"/>
        <w:rPr>
          <w:rFonts w:hint="eastAsia" w:ascii="宋体" w:hAnsi="宋体"/>
          <w:color w:val="auto"/>
          <w:sz w:val="24"/>
          <w:highlight w:val="none"/>
          <w:lang w:eastAsia="zh-CN"/>
        </w:rPr>
      </w:pPr>
      <w:r>
        <w:rPr>
          <w:rFonts w:hint="eastAsia" w:ascii="宋体" w:hAnsi="宋体"/>
          <w:color w:val="auto"/>
          <w:sz w:val="24"/>
          <w:highlight w:val="none"/>
          <w:lang w:eastAsia="zh-CN"/>
        </w:rPr>
        <w:t>为采购项目提供整体设计、规范编制或者项目管理、监理、检测等服务的供应商，不得再参加该采购项目的其他采购活动（提供《竞投承诺函》）；</w:t>
      </w:r>
    </w:p>
    <w:p w14:paraId="4635673C">
      <w:pPr>
        <w:keepNext w:val="0"/>
        <w:keepLines w:val="0"/>
        <w:pageBreakBefore w:val="0"/>
        <w:widowControl w:val="0"/>
        <w:numPr>
          <w:ilvl w:val="0"/>
          <w:numId w:val="10"/>
        </w:numPr>
        <w:kinsoku/>
        <w:wordWrap/>
        <w:overflowPunct/>
        <w:topLinePunct w:val="0"/>
        <w:autoSpaceDE/>
        <w:autoSpaceDN w:val="0"/>
        <w:bidi w:val="0"/>
        <w:adjustRightInd/>
        <w:snapToGrid/>
        <w:spacing w:after="181" w:afterLines="50" w:line="360" w:lineRule="auto"/>
        <w:ind w:left="425" w:leftChars="0" w:hanging="6" w:firstLineChars="0"/>
        <w:jc w:val="left"/>
        <w:textAlignment w:val="auto"/>
        <w:rPr>
          <w:rFonts w:hint="eastAsia" w:ascii="宋体" w:hAnsi="宋体" w:cs="宋体"/>
          <w:color w:val="auto"/>
          <w:sz w:val="24"/>
          <w:highlight w:val="none"/>
        </w:rPr>
      </w:pPr>
      <w:r>
        <w:rPr>
          <w:rFonts w:hint="eastAsia" w:ascii="宋体" w:hAnsi="宋体"/>
          <w:color w:val="auto"/>
          <w:sz w:val="24"/>
          <w:highlight w:val="none"/>
          <w:lang w:eastAsia="zh-CN"/>
        </w:rPr>
        <w:t>信用记录：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招标代理机构于投标截止日当天在“信用中国”网站（www.creditchina.gov.cn）及中国政府采购网(www.ccgp.gov.cn)查询结果为准，如相关失信记录已失效，供应商需提供相关证明资料】</w:t>
      </w:r>
      <w:r>
        <w:rPr>
          <w:rFonts w:hint="eastAsia" w:ascii="宋体" w:hAnsi="宋体" w:cs="宋体"/>
          <w:sz w:val="24"/>
          <w:szCs w:val="24"/>
          <w:highlight w:val="none"/>
          <w:lang w:eastAsia="zh-CN"/>
        </w:rPr>
        <w:t>。</w:t>
      </w:r>
    </w:p>
    <w:p w14:paraId="60A6340E">
      <w:pPr>
        <w:spacing w:line="460" w:lineRule="exact"/>
        <w:jc w:val="both"/>
        <w:outlineLvl w:val="1"/>
        <w:rPr>
          <w:rFonts w:hint="eastAsia"/>
          <w:b/>
          <w:color w:val="auto"/>
          <w:sz w:val="32"/>
          <w:highlight w:val="none"/>
        </w:rPr>
      </w:pPr>
      <w:bookmarkStart w:id="22" w:name="_Toc9938"/>
      <w:bookmarkStart w:id="23" w:name="_Toc18342"/>
      <w:bookmarkStart w:id="24" w:name="_Toc22464"/>
    </w:p>
    <w:p w14:paraId="2D76A214">
      <w:pPr>
        <w:spacing w:line="460" w:lineRule="exact"/>
        <w:jc w:val="center"/>
        <w:outlineLvl w:val="1"/>
        <w:rPr>
          <w:rFonts w:hint="eastAsia"/>
          <w:b/>
          <w:color w:val="auto"/>
          <w:sz w:val="32"/>
          <w:highlight w:val="none"/>
        </w:rPr>
      </w:pPr>
    </w:p>
    <w:p w14:paraId="151D5F00">
      <w:pPr>
        <w:pStyle w:val="6"/>
        <w:rPr>
          <w:rFonts w:hint="eastAsia"/>
          <w:b/>
          <w:color w:val="auto"/>
          <w:sz w:val="32"/>
          <w:highlight w:val="none"/>
        </w:rPr>
      </w:pPr>
    </w:p>
    <w:p w14:paraId="315D8F37">
      <w:pPr>
        <w:rPr>
          <w:rFonts w:hint="eastAsia"/>
          <w:b/>
          <w:color w:val="auto"/>
          <w:sz w:val="32"/>
          <w:highlight w:val="none"/>
        </w:rPr>
      </w:pPr>
    </w:p>
    <w:p w14:paraId="443734EA">
      <w:pPr>
        <w:pStyle w:val="6"/>
        <w:rPr>
          <w:rFonts w:hint="eastAsia"/>
          <w:b/>
          <w:color w:val="auto"/>
          <w:sz w:val="32"/>
          <w:highlight w:val="none"/>
        </w:rPr>
      </w:pPr>
    </w:p>
    <w:p w14:paraId="29657BE2">
      <w:pPr>
        <w:rPr>
          <w:rFonts w:hint="eastAsia"/>
          <w:b/>
          <w:color w:val="auto"/>
          <w:sz w:val="32"/>
          <w:highlight w:val="none"/>
        </w:rPr>
        <w:sectPr>
          <w:pgSz w:w="11850" w:h="16783"/>
          <w:pgMar w:top="1134" w:right="1134" w:bottom="1134" w:left="1417" w:header="170" w:footer="624" w:gutter="0"/>
          <w:pgBorders>
            <w:top w:val="none" w:sz="0" w:space="0"/>
            <w:left w:val="none" w:sz="0" w:space="0"/>
            <w:bottom w:val="none" w:sz="0" w:space="0"/>
            <w:right w:val="none" w:sz="0" w:space="0"/>
          </w:pgBorders>
          <w:pgNumType w:fmt="decimal"/>
          <w:cols w:space="0" w:num="1"/>
          <w:rtlGutter w:val="0"/>
          <w:docGrid w:linePitch="360" w:charSpace="0"/>
        </w:sectPr>
      </w:pPr>
    </w:p>
    <w:p w14:paraId="2E17C898">
      <w:pPr>
        <w:spacing w:line="460" w:lineRule="exact"/>
        <w:jc w:val="center"/>
        <w:outlineLvl w:val="1"/>
        <w:rPr>
          <w:b/>
          <w:color w:val="auto"/>
          <w:sz w:val="32"/>
          <w:highlight w:val="none"/>
        </w:rPr>
      </w:pPr>
      <w:bookmarkStart w:id="25" w:name="_Toc5091"/>
      <w:r>
        <w:rPr>
          <w:rFonts w:hint="eastAsia"/>
          <w:b/>
          <w:color w:val="auto"/>
          <w:sz w:val="32"/>
          <w:highlight w:val="none"/>
          <w:lang w:eastAsia="zh-CN"/>
        </w:rPr>
        <w:t>二</w:t>
      </w:r>
      <w:r>
        <w:rPr>
          <w:rFonts w:hint="eastAsia"/>
          <w:b/>
          <w:color w:val="auto"/>
          <w:sz w:val="32"/>
          <w:highlight w:val="none"/>
        </w:rPr>
        <w:t>、项目技术要求</w:t>
      </w:r>
      <w:bookmarkEnd w:id="22"/>
      <w:bookmarkEnd w:id="23"/>
      <w:bookmarkEnd w:id="24"/>
      <w:bookmarkEnd w:id="25"/>
    </w:p>
    <w:p w14:paraId="5766C91B">
      <w:pPr>
        <w:pStyle w:val="31"/>
        <w:numPr>
          <w:ilvl w:val="0"/>
          <w:numId w:val="11"/>
        </w:numPr>
        <w:spacing w:before="240" w:beforeLines="100" w:after="120" w:afterLines="50" w:line="360" w:lineRule="auto"/>
        <w:ind w:left="624" w:leftChars="0" w:hanging="624" w:firstLineChars="0"/>
        <w:rPr>
          <w:rFonts w:hint="eastAsia" w:ascii="宋体" w:hAnsi="宋体" w:eastAsia="宋体" w:cs="宋体"/>
          <w:b/>
          <w:sz w:val="24"/>
          <w:highlight w:val="none"/>
        </w:rPr>
      </w:pPr>
      <w:bookmarkStart w:id="26" w:name="_Toc334432588"/>
      <w:bookmarkStart w:id="27" w:name="_Toc24252"/>
      <w:bookmarkStart w:id="28" w:name="_Toc17678"/>
      <w:bookmarkStart w:id="29" w:name="_Toc32011"/>
      <w:r>
        <w:rPr>
          <w:rFonts w:hint="eastAsia" w:ascii="宋体" w:hAnsi="宋体" w:eastAsia="宋体" w:cs="宋体"/>
          <w:b/>
          <w:sz w:val="24"/>
          <w:highlight w:val="none"/>
        </w:rPr>
        <w:t>项目背景</w:t>
      </w:r>
    </w:p>
    <w:p w14:paraId="7EEEDF65">
      <w:pPr>
        <w:pStyle w:val="31"/>
        <w:numPr>
          <w:ilvl w:val="1"/>
          <w:numId w:val="11"/>
        </w:numPr>
        <w:spacing w:line="360" w:lineRule="auto"/>
        <w:ind w:left="415" w:leftChars="0" w:hanging="415" w:hangingChars="173"/>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根据现行法律法规，招标人将</w:t>
      </w:r>
      <w:r>
        <w:rPr>
          <w:rFonts w:hint="eastAsia" w:ascii="宋体" w:hAnsi="宋体" w:eastAsia="宋体" w:cs="宋体"/>
          <w:sz w:val="24"/>
          <w:szCs w:val="24"/>
          <w:highlight w:val="none"/>
          <w:lang w:eastAsia="zh-CN"/>
        </w:rPr>
        <w:t>位于</w:t>
      </w:r>
      <w:r>
        <w:rPr>
          <w:rFonts w:hint="eastAsia" w:ascii="宋体" w:hAnsi="宋体" w:cs="宋体"/>
          <w:sz w:val="24"/>
          <w:szCs w:val="24"/>
          <w:highlight w:val="none"/>
          <w:lang w:val="en-US" w:eastAsia="zh-CN"/>
        </w:rPr>
        <w:t>吉利邓岗村车辆停放管理服务</w:t>
      </w:r>
      <w:r>
        <w:rPr>
          <w:rFonts w:hint="eastAsia" w:ascii="宋体" w:hAnsi="宋体" w:eastAsia="宋体" w:cs="宋体"/>
          <w:sz w:val="24"/>
          <w:szCs w:val="24"/>
          <w:highlight w:val="none"/>
          <w:lang w:val="en-US" w:eastAsia="zh-CN"/>
        </w:rPr>
        <w:t>工作委托给中标人经营管理，合同期限为</w:t>
      </w:r>
      <w:r>
        <w:rPr>
          <w:rFonts w:hint="eastAsia" w:ascii="宋体" w:hAnsi="宋体" w:cs="宋体"/>
          <w:sz w:val="24"/>
          <w:szCs w:val="24"/>
          <w:highlight w:val="none"/>
          <w:lang w:val="en-US" w:eastAsia="zh-CN"/>
        </w:rPr>
        <w:t>5年，自2025年1月1日至2029年12月31日止</w:t>
      </w:r>
      <w:r>
        <w:rPr>
          <w:rFonts w:hint="eastAsia" w:ascii="宋体" w:hAnsi="宋体" w:eastAsia="宋体" w:cs="宋体"/>
          <w:sz w:val="24"/>
          <w:szCs w:val="24"/>
          <w:highlight w:val="none"/>
          <w:lang w:val="en-US" w:eastAsia="zh-CN"/>
        </w:rPr>
        <w:t>，中标人须按中标价向招标人支付费用。</w:t>
      </w:r>
    </w:p>
    <w:p w14:paraId="2DB34702">
      <w:pPr>
        <w:pStyle w:val="31"/>
        <w:numPr>
          <w:ilvl w:val="-1"/>
          <w:numId w:val="0"/>
        </w:numPr>
        <w:spacing w:line="360" w:lineRule="auto"/>
        <w:ind w:left="-363" w:leftChars="-173" w:firstLine="0" w:firstLineChars="0"/>
        <w:rPr>
          <w:rFonts w:hint="eastAsia" w:ascii="宋体" w:hAnsi="宋体" w:eastAsia="宋体" w:cs="宋体"/>
          <w:sz w:val="24"/>
          <w:szCs w:val="24"/>
          <w:highlight w:val="none"/>
        </w:rPr>
      </w:pPr>
    </w:p>
    <w:p w14:paraId="1854A2B6">
      <w:pPr>
        <w:pStyle w:val="31"/>
        <w:numPr>
          <w:ilvl w:val="0"/>
          <w:numId w:val="11"/>
        </w:numPr>
        <w:spacing w:line="360" w:lineRule="auto"/>
        <w:ind w:left="417" w:leftChars="0" w:hanging="417" w:hangingChars="173"/>
        <w:rPr>
          <w:rFonts w:hint="eastAsia" w:ascii="宋体" w:hAnsi="宋体" w:eastAsia="宋体" w:cs="宋体"/>
          <w:sz w:val="24"/>
          <w:szCs w:val="24"/>
          <w:highlight w:val="none"/>
        </w:rPr>
      </w:pPr>
      <w:r>
        <w:rPr>
          <w:rFonts w:hint="eastAsia" w:ascii="宋体" w:hAnsi="宋体" w:eastAsia="宋体" w:cs="宋体"/>
          <w:b/>
          <w:bCs/>
          <w:sz w:val="24"/>
          <w:szCs w:val="24"/>
          <w:highlight w:val="none"/>
          <w:lang w:val="en-US" w:eastAsia="zh-CN"/>
        </w:rPr>
        <w:t>项目概况</w:t>
      </w:r>
    </w:p>
    <w:p w14:paraId="0E2B847A">
      <w:pPr>
        <w:pStyle w:val="31"/>
        <w:numPr>
          <w:ilvl w:val="1"/>
          <w:numId w:val="11"/>
        </w:numPr>
        <w:spacing w:line="360" w:lineRule="auto"/>
        <w:ind w:left="415" w:leftChars="0" w:hanging="415" w:hangingChars="173"/>
        <w:rPr>
          <w:rFonts w:hint="eastAsia" w:ascii="宋体" w:hAnsi="宋体" w:eastAsia="宋体" w:cs="宋体"/>
          <w:sz w:val="24"/>
          <w:szCs w:val="24"/>
          <w:highlight w:val="none"/>
        </w:rPr>
      </w:pPr>
      <w:r>
        <w:rPr>
          <w:rFonts w:hint="eastAsia" w:ascii="宋体" w:hAnsi="宋体" w:eastAsia="宋体" w:cs="宋体"/>
          <w:sz w:val="24"/>
          <w:szCs w:val="24"/>
          <w:highlight w:val="none"/>
        </w:rPr>
        <w:t>为解决本村停车需求矛盾和车辆乱停乱放的问题，构建简约高效的停车治理体系，提升精细化停车管理水平，响应《佛山市人民政府办公室关于规范村（社区）停车管理的指导意见》文件精神，现</w:t>
      </w:r>
      <w:r>
        <w:rPr>
          <w:rFonts w:hint="eastAsia" w:ascii="宋体" w:hAnsi="宋体" w:cs="宋体"/>
          <w:sz w:val="24"/>
          <w:szCs w:val="24"/>
          <w:highlight w:val="none"/>
          <w:lang w:eastAsia="zh-CN"/>
        </w:rPr>
        <w:t>吉利邓岗村</w:t>
      </w:r>
      <w:r>
        <w:rPr>
          <w:rFonts w:hint="eastAsia" w:ascii="宋体" w:hAnsi="宋体" w:eastAsia="宋体" w:cs="宋体"/>
          <w:sz w:val="24"/>
          <w:szCs w:val="24"/>
          <w:highlight w:val="none"/>
        </w:rPr>
        <w:t>规划引入第三方停车管理公司进行运营管理，</w:t>
      </w:r>
      <w:r>
        <w:rPr>
          <w:rFonts w:hint="eastAsia" w:ascii="宋体" w:hAnsi="宋体" w:cs="宋体"/>
          <w:sz w:val="24"/>
          <w:szCs w:val="24"/>
          <w:highlight w:val="none"/>
          <w:lang w:eastAsia="zh-CN"/>
        </w:rPr>
        <w:t>本项目为吉利邓岗村车辆停放管理服务。</w:t>
      </w:r>
    </w:p>
    <w:p w14:paraId="022AD758">
      <w:pPr>
        <w:pStyle w:val="31"/>
        <w:numPr>
          <w:ilvl w:val="-1"/>
          <w:numId w:val="0"/>
        </w:numPr>
        <w:spacing w:line="360" w:lineRule="auto"/>
        <w:ind w:left="-363" w:leftChars="-173" w:firstLine="0" w:firstLineChars="0"/>
        <w:rPr>
          <w:rFonts w:hint="eastAsia" w:ascii="宋体" w:hAnsi="宋体" w:eastAsia="宋体" w:cs="宋体"/>
          <w:sz w:val="24"/>
          <w:szCs w:val="24"/>
          <w:highlight w:val="none"/>
        </w:rPr>
      </w:pPr>
    </w:p>
    <w:p w14:paraId="14F0C45F">
      <w:pPr>
        <w:pStyle w:val="31"/>
        <w:numPr>
          <w:ilvl w:val="0"/>
          <w:numId w:val="11"/>
        </w:numPr>
        <w:spacing w:line="360" w:lineRule="auto"/>
        <w:ind w:left="417" w:leftChars="0" w:hanging="417" w:hangingChars="173"/>
        <w:rPr>
          <w:rFonts w:hint="eastAsia" w:ascii="宋体" w:hAnsi="宋体" w:eastAsia="宋体" w:cs="宋体"/>
          <w:b/>
          <w:bCs/>
          <w:sz w:val="24"/>
          <w:szCs w:val="24"/>
          <w:highlight w:val="none"/>
          <w:lang w:val="en-US" w:eastAsia="zh-CN"/>
        </w:rPr>
      </w:pPr>
      <w:r>
        <w:rPr>
          <w:rFonts w:hint="eastAsia" w:ascii="宋体" w:hAnsi="宋体" w:eastAsia="宋体" w:cs="宋体"/>
          <w:b/>
          <w:bCs/>
          <w:sz w:val="24"/>
          <w:szCs w:val="24"/>
          <w:highlight w:val="none"/>
          <w:lang w:val="en-US" w:eastAsia="zh-CN"/>
        </w:rPr>
        <w:t>范围区域</w:t>
      </w:r>
    </w:p>
    <w:p w14:paraId="021C22AE">
      <w:pPr>
        <w:pStyle w:val="31"/>
        <w:numPr>
          <w:ilvl w:val="1"/>
          <w:numId w:val="11"/>
        </w:numPr>
        <w:spacing w:line="360" w:lineRule="auto"/>
        <w:ind w:left="415" w:leftChars="0" w:hanging="415" w:hangingChars="173"/>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点位</w:t>
      </w:r>
    </w:p>
    <w:p w14:paraId="76AB71FB">
      <w:pPr>
        <w:pStyle w:val="31"/>
        <w:numPr>
          <w:ilvl w:val="0"/>
          <w:numId w:val="0"/>
        </w:numPr>
        <w:spacing w:line="360" w:lineRule="auto"/>
        <w:ind w:left="0" w:leftChars="0" w:firstLine="420" w:firstLineChars="175"/>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邓岗村闸口（村心塘村入口，长地仓库边等2个车辆进出通道点位）。</w:t>
      </w:r>
    </w:p>
    <w:p w14:paraId="00076098">
      <w:pPr>
        <w:pStyle w:val="31"/>
        <w:numPr>
          <w:ilvl w:val="0"/>
          <w:numId w:val="0"/>
        </w:numPr>
        <w:spacing w:line="240" w:lineRule="auto"/>
        <w:ind w:leftChars="-173" w:firstLine="480" w:firstLineChars="200"/>
        <w:jc w:val="center"/>
        <w:rPr>
          <w:rFonts w:hint="eastAsia" w:ascii="宋体" w:hAnsi="宋体" w:eastAsia="宋体" w:cs="宋体"/>
          <w:sz w:val="24"/>
          <w:szCs w:val="24"/>
          <w:highlight w:val="none"/>
        </w:rPr>
      </w:pPr>
    </w:p>
    <w:p w14:paraId="026C9BF3">
      <w:pPr>
        <w:pStyle w:val="31"/>
        <w:numPr>
          <w:ilvl w:val="0"/>
          <w:numId w:val="11"/>
        </w:numPr>
        <w:spacing w:line="360" w:lineRule="auto"/>
        <w:ind w:left="417" w:leftChars="0" w:hanging="417" w:hangingChars="173"/>
        <w:rPr>
          <w:rFonts w:hint="eastAsia" w:ascii="宋体" w:hAnsi="宋体" w:eastAsia="宋体" w:cs="宋体"/>
          <w:b/>
          <w:bCs/>
          <w:sz w:val="24"/>
          <w:szCs w:val="24"/>
          <w:highlight w:val="none"/>
          <w:lang w:val="en-US" w:eastAsia="zh-CN"/>
        </w:rPr>
      </w:pPr>
      <w:r>
        <w:rPr>
          <w:rFonts w:hint="eastAsia" w:ascii="宋体" w:hAnsi="宋体" w:eastAsia="宋体" w:cs="宋体"/>
          <w:b/>
          <w:bCs/>
          <w:sz w:val="24"/>
          <w:szCs w:val="24"/>
          <w:highlight w:val="none"/>
          <w:lang w:val="en-US" w:eastAsia="zh-CN"/>
        </w:rPr>
        <w:t>堤泊位设置及人员配置</w:t>
      </w:r>
    </w:p>
    <w:p w14:paraId="6C1EC4D7">
      <w:pPr>
        <w:pStyle w:val="31"/>
        <w:keepNext w:val="0"/>
        <w:keepLines w:val="0"/>
        <w:pageBreakBefore w:val="0"/>
        <w:widowControl w:val="0"/>
        <w:numPr>
          <w:ilvl w:val="0"/>
          <w:numId w:val="0"/>
        </w:numPr>
        <w:tabs>
          <w:tab w:val="left" w:pos="220"/>
        </w:tabs>
        <w:kinsoku/>
        <w:wordWrap/>
        <w:overflowPunct/>
        <w:topLinePunct w:val="0"/>
        <w:autoSpaceDE/>
        <w:autoSpaceDN/>
        <w:bidi w:val="0"/>
        <w:adjustRightInd/>
        <w:snapToGrid/>
        <w:spacing w:line="360" w:lineRule="auto"/>
        <w:ind w:left="0" w:leftChars="0" w:firstLine="420" w:firstLineChars="175"/>
        <w:textAlignment w:val="auto"/>
        <w:rPr>
          <w:rFonts w:hint="eastAsia" w:ascii="宋体" w:hAnsi="宋体" w:eastAsia="宋体" w:cs="宋体"/>
          <w:sz w:val="24"/>
          <w:szCs w:val="24"/>
          <w:highlight w:val="none"/>
          <w:lang w:val="en-US" w:eastAsia="zh-CN"/>
        </w:rPr>
      </w:pPr>
      <w:r>
        <w:rPr>
          <w:rFonts w:hint="eastAsia" w:ascii="宋体" w:hAnsi="宋体" w:eastAsia="宋体" w:cs="宋体"/>
          <w:b w:val="0"/>
          <w:bCs w:val="0"/>
          <w:sz w:val="24"/>
          <w:szCs w:val="24"/>
          <w:highlight w:val="none"/>
          <w:lang w:val="en-US" w:eastAsia="zh-CN"/>
        </w:rPr>
        <w:t>目前</w:t>
      </w:r>
      <w:r>
        <w:rPr>
          <w:rFonts w:hint="eastAsia" w:ascii="宋体" w:hAnsi="宋体" w:cs="宋体"/>
          <w:b w:val="0"/>
          <w:bCs w:val="0"/>
          <w:sz w:val="24"/>
          <w:szCs w:val="24"/>
          <w:highlight w:val="none"/>
          <w:lang w:val="en-US" w:eastAsia="zh-CN"/>
        </w:rPr>
        <w:t>吉利邓岗村</w:t>
      </w:r>
      <w:r>
        <w:rPr>
          <w:rFonts w:hint="eastAsia" w:ascii="宋体" w:hAnsi="宋体" w:eastAsia="宋体" w:cs="宋体"/>
          <w:b w:val="0"/>
          <w:bCs w:val="0"/>
          <w:sz w:val="24"/>
          <w:szCs w:val="24"/>
          <w:highlight w:val="none"/>
          <w:lang w:val="en-US" w:eastAsia="zh-CN"/>
        </w:rPr>
        <w:t>已有划线车位约400个，中标人需</w:t>
      </w:r>
      <w:r>
        <w:rPr>
          <w:rFonts w:hint="eastAsia" w:ascii="宋体" w:hAnsi="宋体" w:cs="宋体"/>
          <w:b w:val="0"/>
          <w:bCs w:val="0"/>
          <w:sz w:val="24"/>
          <w:szCs w:val="24"/>
          <w:highlight w:val="none"/>
          <w:lang w:val="en-US" w:eastAsia="zh-CN"/>
        </w:rPr>
        <w:t>按照本项目约定</w:t>
      </w:r>
      <w:r>
        <w:rPr>
          <w:rFonts w:hint="eastAsia" w:ascii="宋体" w:hAnsi="宋体" w:eastAsia="宋体" w:cs="宋体"/>
          <w:b w:val="0"/>
          <w:bCs w:val="0"/>
          <w:sz w:val="24"/>
          <w:szCs w:val="24"/>
          <w:highlight w:val="none"/>
          <w:lang w:val="en-US" w:eastAsia="zh-CN"/>
        </w:rPr>
        <w:t>范围设置合理的泊位进行管理，如需增加或减少车位，需提交可行性方案报招标人审批后方可进行操作。另外中标人需配备不少于3名人员在现场进行24小时管理。</w:t>
      </w:r>
      <w:r>
        <w:rPr>
          <w:rFonts w:hint="eastAsia" w:ascii="宋体" w:hAnsi="宋体" w:eastAsia="宋体" w:cs="宋体"/>
          <w:b w:val="0"/>
          <w:bCs w:val="0"/>
          <w:sz w:val="24"/>
          <w:szCs w:val="24"/>
          <w:highlight w:val="none"/>
          <w:lang w:val="en-US" w:eastAsia="zh-CN"/>
        </w:rPr>
        <w:br w:type="textWrapping"/>
      </w:r>
    </w:p>
    <w:p w14:paraId="429A80F2">
      <w:pPr>
        <w:pStyle w:val="31"/>
        <w:numPr>
          <w:ilvl w:val="0"/>
          <w:numId w:val="11"/>
        </w:numPr>
        <w:spacing w:line="360" w:lineRule="auto"/>
        <w:ind w:left="417" w:leftChars="0" w:hanging="417" w:hangingChars="173"/>
        <w:rPr>
          <w:rFonts w:hint="eastAsia" w:ascii="宋体" w:hAnsi="宋体" w:eastAsia="宋体" w:cs="宋体"/>
          <w:b/>
          <w:bCs/>
          <w:sz w:val="24"/>
          <w:szCs w:val="24"/>
          <w:highlight w:val="none"/>
          <w:lang w:val="en-US" w:eastAsia="zh-CN"/>
        </w:rPr>
      </w:pPr>
      <w:r>
        <w:rPr>
          <w:rFonts w:hint="eastAsia" w:ascii="宋体" w:hAnsi="宋体" w:eastAsia="宋体" w:cs="宋体"/>
          <w:b/>
          <w:bCs/>
          <w:sz w:val="24"/>
          <w:szCs w:val="24"/>
          <w:highlight w:val="none"/>
          <w:lang w:val="en-US" w:eastAsia="zh-CN"/>
        </w:rPr>
        <w:t>运营管理</w:t>
      </w:r>
    </w:p>
    <w:p w14:paraId="6756AFE4">
      <w:pPr>
        <w:pStyle w:val="31"/>
        <w:keepNext w:val="0"/>
        <w:keepLines w:val="0"/>
        <w:pageBreakBefore w:val="0"/>
        <w:widowControl w:val="0"/>
        <w:numPr>
          <w:ilvl w:val="1"/>
          <w:numId w:val="11"/>
        </w:numPr>
        <w:kinsoku/>
        <w:wordWrap/>
        <w:overflowPunct/>
        <w:topLinePunct w:val="0"/>
        <w:autoSpaceDE/>
        <w:autoSpaceDN/>
        <w:bidi w:val="0"/>
        <w:adjustRightInd/>
        <w:snapToGrid/>
        <w:spacing w:line="360" w:lineRule="auto"/>
        <w:ind w:left="417" w:leftChars="0" w:hanging="417" w:hangingChars="173"/>
        <w:textAlignment w:val="auto"/>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停车收费方案</w:t>
      </w:r>
    </w:p>
    <w:p w14:paraId="64F09F8F">
      <w:pPr>
        <w:pStyle w:val="31"/>
        <w:keepNext w:val="0"/>
        <w:keepLines w:val="0"/>
        <w:pageBreakBefore w:val="0"/>
        <w:widowControl w:val="0"/>
        <w:numPr>
          <w:ilvl w:val="2"/>
          <w:numId w:val="11"/>
        </w:numPr>
        <w:kinsoku/>
        <w:wordWrap/>
        <w:overflowPunct/>
        <w:topLinePunct w:val="0"/>
        <w:autoSpaceDE/>
        <w:autoSpaceDN/>
        <w:bidi w:val="0"/>
        <w:adjustRightInd/>
        <w:snapToGrid/>
        <w:spacing w:line="360" w:lineRule="auto"/>
        <w:ind w:left="415" w:leftChars="0" w:hanging="415" w:hangingChars="173"/>
        <w:textAlignment w:val="auto"/>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t>停车费收取对象为临时停放车辆和月租车。中标人须无条件提供约280个VIP车位给邓岗村小组集体自行分配使用，该280个VIP车位仅用于停放吉利邓岗村村民的自有车辆，但须进行实名登记。</w:t>
      </w:r>
    </w:p>
    <w:p w14:paraId="349F0A55">
      <w:pPr>
        <w:pStyle w:val="31"/>
        <w:keepNext w:val="0"/>
        <w:keepLines w:val="0"/>
        <w:pageBreakBefore w:val="0"/>
        <w:widowControl w:val="0"/>
        <w:numPr>
          <w:ilvl w:val="2"/>
          <w:numId w:val="11"/>
        </w:numPr>
        <w:kinsoku/>
        <w:wordWrap/>
        <w:overflowPunct/>
        <w:topLinePunct w:val="0"/>
        <w:autoSpaceDE/>
        <w:autoSpaceDN/>
        <w:bidi w:val="0"/>
        <w:adjustRightInd/>
        <w:snapToGrid/>
        <w:spacing w:line="360" w:lineRule="auto"/>
        <w:ind w:left="415" w:leftChars="0" w:hanging="415" w:hangingChars="173"/>
        <w:textAlignment w:val="auto"/>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t>吉利邓岗村村民自有车辆必须是吉利邓岗村户籍村民，办理必须出示吉利邓岗村村民身份证、户口本等证明及属于本人的行驶证资料，如出现亲属关系的由招标方出示相关证明方可办理，例如嫁入吉利邓岗村但户口未迁入、吉利邓岗村村民嫁出并且户口已迁出等情况。属于吉利邓岗村集体物业的租户，每个租户给予两辆车全天免费停放。</w:t>
      </w:r>
    </w:p>
    <w:p w14:paraId="35DF4597">
      <w:pPr>
        <w:pStyle w:val="31"/>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173"/>
        <w:textAlignment w:val="auto"/>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pPr>
    </w:p>
    <w:p w14:paraId="6383459A">
      <w:pPr>
        <w:pStyle w:val="31"/>
        <w:keepNext w:val="0"/>
        <w:keepLines w:val="0"/>
        <w:pageBreakBefore w:val="0"/>
        <w:numPr>
          <w:ilvl w:val="2"/>
          <w:numId w:val="11"/>
        </w:numPr>
        <w:kinsoku/>
        <w:wordWrap/>
        <w:overflowPunct/>
        <w:topLinePunct w:val="0"/>
        <w:autoSpaceDE/>
        <w:autoSpaceDN/>
        <w:bidi w:val="0"/>
        <w:adjustRightInd/>
        <w:snapToGrid/>
        <w:spacing w:line="360" w:lineRule="auto"/>
        <w:ind w:left="415" w:leftChars="0" w:hanging="415" w:hangingChars="173"/>
        <w:textAlignment w:val="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临时停车收费标准</w:t>
      </w:r>
    </w:p>
    <w:p w14:paraId="3ECC50EE">
      <w:pPr>
        <w:pStyle w:val="31"/>
        <w:keepNext w:val="0"/>
        <w:keepLines w:val="0"/>
        <w:pageBreakBefore w:val="0"/>
        <w:numPr>
          <w:ilvl w:val="3"/>
          <w:numId w:val="11"/>
        </w:numPr>
        <w:kinsoku/>
        <w:wordWrap/>
        <w:overflowPunct/>
        <w:topLinePunct w:val="0"/>
        <w:autoSpaceDE/>
        <w:autoSpaceDN/>
        <w:bidi w:val="0"/>
        <w:adjustRightInd/>
        <w:snapToGrid/>
        <w:spacing w:line="360" w:lineRule="auto"/>
        <w:ind w:left="415" w:leftChars="0" w:hanging="415" w:hangingChars="173"/>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小车类：3小时内免费，超3小时后按5元计算，第二小时后每小时增3元（不足1小时的按1小时计算）,每天24小时内最高限价20元，停放超过24小时以上按上述标准累加收费；车辆缴费后，需在15分钟内离场，超时则重新计时收费。（免费停车时长如有调整，以</w:t>
      </w:r>
      <w:r>
        <w:rPr>
          <w:rFonts w:hint="eastAsia" w:ascii="宋体" w:hAnsi="宋体" w:cs="宋体"/>
          <w:sz w:val="24"/>
          <w:szCs w:val="24"/>
          <w:highlight w:val="none"/>
          <w:lang w:val="en-US" w:eastAsia="zh-CN"/>
        </w:rPr>
        <w:t>招标人</w:t>
      </w:r>
      <w:r>
        <w:rPr>
          <w:rFonts w:hint="eastAsia" w:ascii="宋体" w:hAnsi="宋体" w:eastAsia="宋体" w:cs="宋体"/>
          <w:sz w:val="24"/>
          <w:szCs w:val="24"/>
          <w:highlight w:val="none"/>
          <w:lang w:val="en-US" w:eastAsia="zh-CN"/>
        </w:rPr>
        <w:t>书面通知为准）</w:t>
      </w:r>
      <w:r>
        <w:rPr>
          <w:rFonts w:hint="eastAsia" w:ascii="宋体" w:hAnsi="宋体" w:cs="宋体"/>
          <w:sz w:val="24"/>
          <w:szCs w:val="24"/>
          <w:highlight w:val="none"/>
          <w:lang w:val="en-US" w:eastAsia="zh-CN"/>
        </w:rPr>
        <w:t>。</w:t>
      </w:r>
    </w:p>
    <w:p w14:paraId="3C76BF97">
      <w:pPr>
        <w:pStyle w:val="31"/>
        <w:keepNext w:val="0"/>
        <w:keepLines w:val="0"/>
        <w:pageBreakBefore w:val="0"/>
        <w:numPr>
          <w:ilvl w:val="3"/>
          <w:numId w:val="11"/>
        </w:numPr>
        <w:kinsoku/>
        <w:wordWrap/>
        <w:overflowPunct/>
        <w:topLinePunct w:val="0"/>
        <w:autoSpaceDE/>
        <w:autoSpaceDN/>
        <w:bidi w:val="0"/>
        <w:adjustRightInd/>
        <w:snapToGrid/>
        <w:spacing w:line="360" w:lineRule="auto"/>
        <w:ind w:left="415" w:leftChars="0" w:hanging="415" w:hangingChars="173"/>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每辆车每天累计免费停车时长为3小时。</w:t>
      </w:r>
    </w:p>
    <w:p w14:paraId="19FBF200">
      <w:pPr>
        <w:pStyle w:val="31"/>
        <w:keepNext w:val="0"/>
        <w:keepLines w:val="0"/>
        <w:pageBreakBefore w:val="0"/>
        <w:numPr>
          <w:ilvl w:val="0"/>
          <w:numId w:val="0"/>
        </w:numPr>
        <w:kinsoku/>
        <w:wordWrap/>
        <w:overflowPunct/>
        <w:topLinePunct w:val="0"/>
        <w:autoSpaceDE/>
        <w:autoSpaceDN/>
        <w:bidi w:val="0"/>
        <w:adjustRightInd/>
        <w:snapToGrid/>
        <w:spacing w:line="360" w:lineRule="auto"/>
        <w:ind w:leftChars="-173"/>
        <w:textAlignment w:val="auto"/>
        <w:rPr>
          <w:rFonts w:hint="eastAsia" w:ascii="宋体" w:hAnsi="宋体" w:eastAsia="宋体" w:cs="宋体"/>
          <w:sz w:val="24"/>
          <w:szCs w:val="24"/>
          <w:highlight w:val="none"/>
          <w:lang w:val="en-US" w:eastAsia="zh-CN"/>
        </w:rPr>
      </w:pPr>
    </w:p>
    <w:p w14:paraId="7091987D">
      <w:pPr>
        <w:pStyle w:val="31"/>
        <w:keepNext w:val="0"/>
        <w:keepLines w:val="0"/>
        <w:pageBreakBefore w:val="0"/>
        <w:numPr>
          <w:ilvl w:val="2"/>
          <w:numId w:val="11"/>
        </w:numPr>
        <w:kinsoku/>
        <w:wordWrap/>
        <w:overflowPunct/>
        <w:topLinePunct w:val="0"/>
        <w:autoSpaceDE/>
        <w:autoSpaceDN/>
        <w:bidi w:val="0"/>
        <w:adjustRightInd/>
        <w:snapToGrid/>
        <w:spacing w:line="360" w:lineRule="auto"/>
        <w:ind w:left="415" w:leftChars="0" w:hanging="415" w:hangingChars="173"/>
        <w:textAlignment w:val="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月租类收费标准</w:t>
      </w:r>
    </w:p>
    <w:p w14:paraId="6353564C">
      <w:pPr>
        <w:pStyle w:val="31"/>
        <w:keepNext w:val="0"/>
        <w:keepLines w:val="0"/>
        <w:pageBreakBefore w:val="0"/>
        <w:numPr>
          <w:ilvl w:val="0"/>
          <w:numId w:val="0"/>
        </w:numPr>
        <w:kinsoku/>
        <w:wordWrap/>
        <w:overflowPunct/>
        <w:topLinePunct w:val="0"/>
        <w:autoSpaceDE/>
        <w:autoSpaceDN/>
        <w:bidi w:val="0"/>
        <w:adjustRightInd/>
        <w:snapToGrid/>
        <w:spacing w:line="360" w:lineRule="auto"/>
        <w:ind w:leftChars="-173"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符合以下条件的车辆可办理月卡（按季度收取），月租办理最多可办理一年，月租车辆可按以下方案享有以下优惠。</w:t>
      </w:r>
    </w:p>
    <w:p w14:paraId="086DE97E">
      <w:pPr>
        <w:pStyle w:val="31"/>
        <w:keepNext w:val="0"/>
        <w:keepLines w:val="0"/>
        <w:pageBreakBefore w:val="0"/>
        <w:numPr>
          <w:ilvl w:val="3"/>
          <w:numId w:val="11"/>
        </w:numPr>
        <w:kinsoku/>
        <w:wordWrap/>
        <w:overflowPunct/>
        <w:topLinePunct w:val="0"/>
        <w:autoSpaceDE/>
        <w:autoSpaceDN/>
        <w:bidi w:val="0"/>
        <w:adjustRightInd/>
        <w:snapToGrid/>
        <w:spacing w:line="360" w:lineRule="auto"/>
        <w:ind w:left="415" w:leftChars="0" w:hanging="415" w:hangingChars="173"/>
        <w:textAlignment w:val="auto"/>
        <w:rPr>
          <w:rFonts w:hint="eastAsia" w:ascii="宋体" w:hAnsi="宋体" w:eastAsia="宋体" w:cs="宋体"/>
          <w:sz w:val="24"/>
          <w:szCs w:val="24"/>
          <w:highlight w:val="none"/>
          <w:lang w:val="en-US" w:eastAsia="zh-CN"/>
        </w:rPr>
      </w:pPr>
      <w:r>
        <w:rPr>
          <w:rFonts w:hint="eastAsia" w:ascii="宋体" w:hAnsi="宋体" w:cs="宋体"/>
          <w:sz w:val="24"/>
          <w:szCs w:val="24"/>
          <w:highlight w:val="none"/>
          <w:lang w:val="en-US" w:eastAsia="zh-CN"/>
        </w:rPr>
        <w:t>小车</w:t>
      </w:r>
      <w:r>
        <w:rPr>
          <w:rFonts w:hint="eastAsia" w:ascii="宋体" w:hAnsi="宋体" w:eastAsia="宋体" w:cs="宋体"/>
          <w:sz w:val="24"/>
          <w:szCs w:val="24"/>
          <w:highlight w:val="none"/>
          <w:lang w:val="en-US" w:eastAsia="zh-CN"/>
        </w:rPr>
        <w:t>：最高不超过150元/月/辆（一次性缴纳的按1年优惠2个月）</w:t>
      </w:r>
      <w:r>
        <w:rPr>
          <w:rFonts w:hint="eastAsia" w:ascii="宋体" w:hAnsi="宋体" w:cs="宋体"/>
          <w:sz w:val="24"/>
          <w:szCs w:val="24"/>
          <w:highlight w:val="none"/>
          <w:lang w:val="en-US" w:eastAsia="zh-CN"/>
        </w:rPr>
        <w:t>。</w:t>
      </w:r>
    </w:p>
    <w:p w14:paraId="093F8817">
      <w:pPr>
        <w:pStyle w:val="31"/>
        <w:keepNext w:val="0"/>
        <w:keepLines w:val="0"/>
        <w:pageBreakBefore w:val="0"/>
        <w:numPr>
          <w:ilvl w:val="3"/>
          <w:numId w:val="11"/>
        </w:numPr>
        <w:kinsoku/>
        <w:wordWrap/>
        <w:overflowPunct/>
        <w:topLinePunct w:val="0"/>
        <w:autoSpaceDE/>
        <w:autoSpaceDN/>
        <w:bidi w:val="0"/>
        <w:adjustRightInd/>
        <w:snapToGrid/>
        <w:spacing w:line="360" w:lineRule="auto"/>
        <w:ind w:left="415" w:leftChars="0" w:hanging="415" w:hangingChars="173"/>
        <w:textAlignment w:val="auto"/>
        <w:rPr>
          <w:rFonts w:hint="eastAsia" w:ascii="宋体" w:hAnsi="宋体" w:eastAsia="宋体" w:cs="宋体"/>
          <w:sz w:val="24"/>
          <w:szCs w:val="24"/>
          <w:highlight w:val="none"/>
          <w:lang w:val="en-US" w:eastAsia="zh-CN"/>
        </w:rPr>
      </w:pPr>
      <w:r>
        <w:rPr>
          <w:rFonts w:hint="eastAsia" w:ascii="宋体" w:hAnsi="宋体" w:cs="宋体"/>
          <w:sz w:val="24"/>
          <w:szCs w:val="24"/>
          <w:highlight w:val="none"/>
          <w:lang w:val="en-US" w:eastAsia="zh-CN"/>
        </w:rPr>
        <w:t>蓝牌小货车</w:t>
      </w:r>
      <w:r>
        <w:rPr>
          <w:rFonts w:hint="eastAsia" w:ascii="宋体" w:hAnsi="宋体" w:eastAsia="宋体" w:cs="宋体"/>
          <w:sz w:val="24"/>
          <w:szCs w:val="24"/>
          <w:highlight w:val="none"/>
          <w:lang w:val="en-US" w:eastAsia="zh-CN"/>
        </w:rPr>
        <w:t>：最高不超过250元/月/辆（一次性缴纳的按1年优惠2个月）</w:t>
      </w:r>
      <w:r>
        <w:rPr>
          <w:rFonts w:hint="eastAsia" w:ascii="宋体" w:hAnsi="宋体" w:cs="宋体"/>
          <w:sz w:val="24"/>
          <w:szCs w:val="24"/>
          <w:highlight w:val="none"/>
          <w:lang w:val="en-US" w:eastAsia="zh-CN"/>
        </w:rPr>
        <w:t>。</w:t>
      </w:r>
    </w:p>
    <w:p w14:paraId="064AF8BB">
      <w:pPr>
        <w:pStyle w:val="31"/>
        <w:keepNext w:val="0"/>
        <w:keepLines w:val="0"/>
        <w:pageBreakBefore w:val="0"/>
        <w:widowControl w:val="0"/>
        <w:numPr>
          <w:ilvl w:val="0"/>
          <w:numId w:val="0"/>
        </w:numPr>
        <w:tabs>
          <w:tab w:val="left" w:pos="992"/>
        </w:tabs>
        <w:kinsoku/>
        <w:wordWrap/>
        <w:overflowPunct/>
        <w:topLinePunct w:val="0"/>
        <w:autoSpaceDE/>
        <w:autoSpaceDN/>
        <w:bidi w:val="0"/>
        <w:adjustRightInd/>
        <w:snapToGrid/>
        <w:spacing w:line="360" w:lineRule="auto"/>
        <w:ind w:left="479" w:leftChars="228" w:firstLine="62" w:firstLineChars="26"/>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注：</w:t>
      </w:r>
      <w:r>
        <w:rPr>
          <w:rFonts w:hint="eastAsia" w:ascii="宋体" w:hAnsi="宋体" w:eastAsia="宋体" w:cs="宋体"/>
          <w:color w:val="auto"/>
          <w:sz w:val="24"/>
          <w:szCs w:val="24"/>
          <w:highlight w:val="none"/>
        </w:rPr>
        <w:t>逾期未办月/卡的车辆系统自动按临时停车收费标准收费</w:t>
      </w:r>
    </w:p>
    <w:p w14:paraId="5B843A1D">
      <w:pPr>
        <w:pStyle w:val="31"/>
        <w:keepNext w:val="0"/>
        <w:keepLines w:val="0"/>
        <w:pageBreakBefore w:val="0"/>
        <w:widowControl w:val="0"/>
        <w:numPr>
          <w:ilvl w:val="0"/>
          <w:numId w:val="0"/>
        </w:numPr>
        <w:tabs>
          <w:tab w:val="left" w:pos="992"/>
        </w:tabs>
        <w:kinsoku/>
        <w:wordWrap/>
        <w:overflowPunct/>
        <w:topLinePunct w:val="0"/>
        <w:autoSpaceDE/>
        <w:autoSpaceDN/>
        <w:bidi w:val="0"/>
        <w:adjustRightInd/>
        <w:snapToGrid/>
        <w:spacing w:line="360" w:lineRule="auto"/>
        <w:ind w:left="415" w:leftChars="0" w:hanging="415" w:hangingChars="173"/>
        <w:jc w:val="both"/>
        <w:textAlignment w:val="auto"/>
        <w:rPr>
          <w:rFonts w:hint="eastAsia" w:ascii="宋体" w:hAnsi="宋体" w:eastAsia="宋体" w:cs="宋体"/>
          <w:color w:val="auto"/>
          <w:sz w:val="24"/>
          <w:szCs w:val="24"/>
          <w:highlight w:val="none"/>
          <w:lang w:val="en-US" w:eastAsia="zh-CN"/>
        </w:rPr>
      </w:pPr>
    </w:p>
    <w:p w14:paraId="226E773D">
      <w:pPr>
        <w:pStyle w:val="31"/>
        <w:keepNext w:val="0"/>
        <w:keepLines w:val="0"/>
        <w:pageBreakBefore w:val="0"/>
        <w:numPr>
          <w:ilvl w:val="2"/>
          <w:numId w:val="11"/>
        </w:numPr>
        <w:kinsoku/>
        <w:wordWrap/>
        <w:overflowPunct/>
        <w:topLinePunct w:val="0"/>
        <w:autoSpaceDE/>
        <w:autoSpaceDN/>
        <w:bidi w:val="0"/>
        <w:adjustRightInd/>
        <w:snapToGrid/>
        <w:spacing w:line="360" w:lineRule="auto"/>
        <w:ind w:left="415" w:leftChars="0" w:hanging="415" w:hangingChars="173"/>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重要节假日免收停车费，如春节（年二十八凌晨至正月初九凌晨）、清明节等节日免收费。</w:t>
      </w:r>
    </w:p>
    <w:p w14:paraId="4DCF7C14">
      <w:pPr>
        <w:pStyle w:val="31"/>
        <w:keepNext w:val="0"/>
        <w:keepLines w:val="0"/>
        <w:pageBreakBefore w:val="0"/>
        <w:numPr>
          <w:ilvl w:val="2"/>
          <w:numId w:val="11"/>
        </w:numPr>
        <w:kinsoku/>
        <w:wordWrap/>
        <w:overflowPunct/>
        <w:topLinePunct w:val="0"/>
        <w:autoSpaceDE/>
        <w:autoSpaceDN/>
        <w:bidi w:val="0"/>
        <w:adjustRightInd/>
        <w:snapToGrid/>
        <w:spacing w:line="360" w:lineRule="auto"/>
        <w:ind w:left="415" w:leftChars="0" w:hanging="415" w:hangingChars="173"/>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村重要传统节日，村民生日、婚庆、弥月、丧事等亲友车辆需要在村内停放的，须在事项进行前向邓岗村队委报备，报备后给予免费，并由车场管理处统一安排在临时停车位内停放。并由</w:t>
      </w:r>
      <w:r>
        <w:rPr>
          <w:rFonts w:hint="eastAsia" w:ascii="宋体" w:hAnsi="宋体" w:cs="宋体"/>
          <w:color w:val="auto"/>
          <w:sz w:val="24"/>
          <w:szCs w:val="24"/>
          <w:highlight w:val="none"/>
          <w:lang w:val="en-US" w:eastAsia="zh-CN"/>
        </w:rPr>
        <w:t>中标人</w:t>
      </w:r>
      <w:r>
        <w:rPr>
          <w:rFonts w:hint="eastAsia" w:ascii="宋体" w:hAnsi="宋体" w:eastAsia="宋体" w:cs="宋体"/>
          <w:color w:val="auto"/>
          <w:sz w:val="24"/>
          <w:szCs w:val="24"/>
          <w:highlight w:val="none"/>
          <w:lang w:val="en-US" w:eastAsia="zh-CN"/>
        </w:rPr>
        <w:t>提供二维码给办事村民专用，时间由村民所定，一般不超过一个星期，超期后二维码自动作废。</w:t>
      </w:r>
    </w:p>
    <w:p w14:paraId="27C96020">
      <w:pPr>
        <w:pStyle w:val="31"/>
        <w:keepNext w:val="0"/>
        <w:keepLines w:val="0"/>
        <w:pageBreakBefore w:val="0"/>
        <w:numPr>
          <w:ilvl w:val="2"/>
          <w:numId w:val="11"/>
        </w:numPr>
        <w:kinsoku/>
        <w:wordWrap/>
        <w:overflowPunct/>
        <w:topLinePunct w:val="0"/>
        <w:autoSpaceDE/>
        <w:autoSpaceDN/>
        <w:bidi w:val="0"/>
        <w:adjustRightInd/>
        <w:snapToGrid/>
        <w:spacing w:line="360" w:lineRule="auto"/>
        <w:ind w:left="415" w:leftChars="0" w:hanging="415" w:hangingChars="173"/>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户籍村民或非本村户籍嫁入本村的村民驾驶非本人名下的车辆时，需提供相关证明材料由村队委和</w:t>
      </w:r>
      <w:r>
        <w:rPr>
          <w:rFonts w:hint="eastAsia" w:ascii="宋体" w:hAnsi="宋体" w:cs="宋体"/>
          <w:color w:val="auto"/>
          <w:sz w:val="24"/>
          <w:szCs w:val="24"/>
          <w:highlight w:val="none"/>
          <w:lang w:val="en-US" w:eastAsia="zh-CN"/>
        </w:rPr>
        <w:t>中标人</w:t>
      </w:r>
      <w:r>
        <w:rPr>
          <w:rFonts w:hint="eastAsia" w:ascii="宋体" w:hAnsi="宋体" w:eastAsia="宋体" w:cs="宋体"/>
          <w:color w:val="auto"/>
          <w:sz w:val="24"/>
          <w:szCs w:val="24"/>
          <w:highlight w:val="none"/>
          <w:lang w:val="en-US" w:eastAsia="zh-CN"/>
        </w:rPr>
        <w:t>核实后，可报备登记视为临时户籍车辆，若登记本村非户籍村民的车辆停放在户籍村民自家车库可免费，但该车辆不得在外面过夜，如每月有发现3次以上，则按月租车辆处理。</w:t>
      </w:r>
    </w:p>
    <w:p w14:paraId="2F3E5F0B">
      <w:pPr>
        <w:pStyle w:val="31"/>
        <w:keepNext w:val="0"/>
        <w:keepLines w:val="0"/>
        <w:pageBreakBefore w:val="0"/>
        <w:numPr>
          <w:ilvl w:val="2"/>
          <w:numId w:val="11"/>
        </w:numPr>
        <w:kinsoku/>
        <w:wordWrap/>
        <w:overflowPunct/>
        <w:topLinePunct w:val="0"/>
        <w:autoSpaceDE/>
        <w:autoSpaceDN/>
        <w:bidi w:val="0"/>
        <w:adjustRightInd/>
        <w:snapToGrid/>
        <w:spacing w:line="360" w:lineRule="auto"/>
        <w:ind w:left="415" w:leftChars="0" w:hanging="415" w:hangingChars="173"/>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村民建房需要堆放建筑材料，按建房户数（一户）免费提供3至4个车位，如超过5个车位，则当外来车临停收费</w:t>
      </w:r>
      <w:r>
        <w:rPr>
          <w:rFonts w:hint="eastAsia" w:ascii="宋体" w:hAnsi="宋体" w:cs="宋体"/>
          <w:color w:val="auto"/>
          <w:sz w:val="24"/>
          <w:szCs w:val="24"/>
          <w:highlight w:val="none"/>
          <w:lang w:val="en-US" w:eastAsia="zh-CN"/>
        </w:rPr>
        <w:t>。</w:t>
      </w:r>
    </w:p>
    <w:p w14:paraId="44B42BBF">
      <w:pPr>
        <w:pStyle w:val="31"/>
        <w:keepNext w:val="0"/>
        <w:keepLines w:val="0"/>
        <w:pageBreakBefore w:val="0"/>
        <w:numPr>
          <w:ilvl w:val="2"/>
          <w:numId w:val="11"/>
        </w:numPr>
        <w:kinsoku/>
        <w:wordWrap/>
        <w:overflowPunct/>
        <w:topLinePunct w:val="0"/>
        <w:autoSpaceDE/>
        <w:autoSpaceDN/>
        <w:bidi w:val="0"/>
        <w:adjustRightInd/>
        <w:snapToGrid/>
        <w:spacing w:line="360" w:lineRule="auto"/>
        <w:ind w:left="415" w:leftChars="0" w:hanging="415" w:hangingChars="173"/>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医院、银行、幼儿园、学校（校巴全天免费停放）吉利村委会和吉利市政等车辆0点—24点全天免费，政府工作人员来村里面办事，中标人提供一个二维码在村委会前台，让办事工作人员扫码后免费通行，村委会工作人员全天免费停车。</w:t>
      </w:r>
    </w:p>
    <w:p w14:paraId="1AFE3308">
      <w:pPr>
        <w:pStyle w:val="31"/>
        <w:numPr>
          <w:ilvl w:val="-1"/>
          <w:numId w:val="0"/>
        </w:numPr>
        <w:spacing w:line="360" w:lineRule="auto"/>
        <w:ind w:left="-363" w:leftChars="-173" w:firstLine="0" w:firstLineChars="0"/>
        <w:rPr>
          <w:rFonts w:hint="eastAsia" w:ascii="宋体" w:hAnsi="宋体" w:eastAsia="宋体" w:cs="宋体"/>
          <w:color w:val="auto"/>
          <w:sz w:val="24"/>
          <w:szCs w:val="24"/>
          <w:highlight w:val="none"/>
          <w:lang w:val="en-US" w:eastAsia="zh-CN"/>
        </w:rPr>
      </w:pPr>
    </w:p>
    <w:p w14:paraId="29C9F5AB">
      <w:pPr>
        <w:pStyle w:val="31"/>
        <w:numPr>
          <w:ilvl w:val="1"/>
          <w:numId w:val="11"/>
        </w:numPr>
        <w:spacing w:line="360" w:lineRule="auto"/>
        <w:ind w:left="417" w:leftChars="0" w:hanging="417" w:hangingChars="173"/>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停车管理要求</w:t>
      </w:r>
    </w:p>
    <w:p w14:paraId="3F065DB0">
      <w:pPr>
        <w:pStyle w:val="31"/>
        <w:keepNext w:val="0"/>
        <w:keepLines w:val="0"/>
        <w:pageBreakBefore w:val="0"/>
        <w:widowControl w:val="0"/>
        <w:numPr>
          <w:ilvl w:val="2"/>
          <w:numId w:val="11"/>
        </w:numPr>
        <w:kinsoku/>
        <w:wordWrap/>
        <w:overflowPunct/>
        <w:topLinePunct w:val="0"/>
        <w:autoSpaceDE/>
        <w:autoSpaceDN/>
        <w:bidi w:val="0"/>
        <w:adjustRightInd/>
        <w:snapToGrid/>
        <w:spacing w:line="360" w:lineRule="auto"/>
        <w:ind w:left="415" w:leftChars="0" w:hanging="415" w:hangingChars="173"/>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严禁装有易燃易爆等危险、化学物品的车辆进村及停放。</w:t>
      </w:r>
    </w:p>
    <w:p w14:paraId="17F20418">
      <w:pPr>
        <w:pStyle w:val="31"/>
        <w:keepNext w:val="0"/>
        <w:keepLines w:val="0"/>
        <w:pageBreakBefore w:val="0"/>
        <w:widowControl w:val="0"/>
        <w:numPr>
          <w:ilvl w:val="2"/>
          <w:numId w:val="11"/>
        </w:numPr>
        <w:kinsoku/>
        <w:wordWrap/>
        <w:overflowPunct/>
        <w:topLinePunct w:val="0"/>
        <w:autoSpaceDE/>
        <w:autoSpaceDN/>
        <w:bidi w:val="0"/>
        <w:adjustRightInd/>
        <w:snapToGrid/>
        <w:spacing w:line="360" w:lineRule="auto"/>
        <w:ind w:left="415" w:leftChars="0" w:hanging="415" w:hangingChars="173"/>
        <w:textAlignment w:val="auto"/>
        <w:rPr>
          <w:rFonts w:hint="eastAsia" w:ascii="宋体" w:hAnsi="宋体" w:eastAsia="宋体" w:cs="宋体"/>
          <w:color w:val="auto"/>
          <w:sz w:val="24"/>
          <w:szCs w:val="24"/>
          <w:highlight w:val="none"/>
          <w:lang w:val="en-US" w:eastAsia="zh-CN"/>
        </w:rPr>
      </w:pPr>
      <w:r>
        <w:rPr>
          <w:rFonts w:hint="eastAsia" w:ascii="宋体" w:hAnsi="宋体" w:cs="宋体"/>
          <w:color w:val="auto"/>
          <w:sz w:val="24"/>
          <w:szCs w:val="24"/>
          <w:highlight w:val="none"/>
          <w:lang w:val="en-US" w:eastAsia="zh-CN"/>
        </w:rPr>
        <w:t>中标人</w:t>
      </w:r>
      <w:r>
        <w:rPr>
          <w:rFonts w:hint="eastAsia" w:ascii="宋体" w:hAnsi="宋体" w:eastAsia="宋体" w:cs="宋体"/>
          <w:color w:val="auto"/>
          <w:sz w:val="24"/>
          <w:szCs w:val="24"/>
          <w:highlight w:val="none"/>
          <w:lang w:val="en-US" w:eastAsia="zh-CN"/>
        </w:rPr>
        <w:t>必须登记好本村的车辆号牌，电话号码，停放地点，车位使用人，住址等，月租车也必须登记其号牌，电话号码等，而且必须停在按规定划好的车位上，月租车和临时车按划好的车位有序停放。</w:t>
      </w:r>
      <w:r>
        <w:rPr>
          <w:rFonts w:hint="eastAsia" w:ascii="宋体" w:hAnsi="宋体" w:cs="宋体"/>
          <w:color w:val="auto"/>
          <w:sz w:val="24"/>
          <w:szCs w:val="24"/>
          <w:highlight w:val="none"/>
          <w:lang w:val="en-US" w:eastAsia="zh-CN"/>
        </w:rPr>
        <w:t>中标人</w:t>
      </w:r>
      <w:r>
        <w:rPr>
          <w:rFonts w:hint="eastAsia" w:ascii="宋体" w:hAnsi="宋体" w:eastAsia="宋体" w:cs="宋体"/>
          <w:color w:val="auto"/>
          <w:sz w:val="24"/>
          <w:szCs w:val="24"/>
          <w:highlight w:val="none"/>
          <w:lang w:val="en-US" w:eastAsia="zh-CN"/>
        </w:rPr>
        <w:t>必须与停车位使用人签订车位承诺责任书，对停车实行规范化管理。巡逻人员24小时巡逻车场并确保各停车位正常使用，督促所有车辆正确使用行车线和停车位，维持停车秩序，保证各车道、车场出入周围道路畅通。文明管理车场，不得以任何理由或形式向车主或司机索取任何利益或报酬。文明礼貌，用语规范，文明服务。在经营管理中如发生纠纷，由</w:t>
      </w:r>
      <w:r>
        <w:rPr>
          <w:rFonts w:hint="eastAsia" w:ascii="宋体" w:hAnsi="宋体" w:cs="宋体"/>
          <w:color w:val="auto"/>
          <w:sz w:val="24"/>
          <w:szCs w:val="24"/>
          <w:highlight w:val="none"/>
          <w:lang w:val="en-US" w:eastAsia="zh-CN"/>
        </w:rPr>
        <w:t>中标人</w:t>
      </w:r>
      <w:r>
        <w:rPr>
          <w:rFonts w:hint="eastAsia" w:ascii="宋体" w:hAnsi="宋体" w:eastAsia="宋体" w:cs="宋体"/>
          <w:color w:val="auto"/>
          <w:sz w:val="24"/>
          <w:szCs w:val="24"/>
          <w:highlight w:val="none"/>
          <w:lang w:val="en-US" w:eastAsia="zh-CN"/>
        </w:rPr>
        <w:t>自行处理。</w:t>
      </w:r>
    </w:p>
    <w:p w14:paraId="446A53A4">
      <w:pPr>
        <w:pStyle w:val="31"/>
        <w:keepNext w:val="0"/>
        <w:keepLines w:val="0"/>
        <w:pageBreakBefore w:val="0"/>
        <w:widowControl w:val="0"/>
        <w:numPr>
          <w:ilvl w:val="2"/>
          <w:numId w:val="11"/>
        </w:numPr>
        <w:kinsoku/>
        <w:wordWrap/>
        <w:overflowPunct/>
        <w:topLinePunct w:val="0"/>
        <w:autoSpaceDE/>
        <w:autoSpaceDN/>
        <w:bidi w:val="0"/>
        <w:adjustRightInd/>
        <w:snapToGrid/>
        <w:spacing w:line="360" w:lineRule="auto"/>
        <w:ind w:left="415" w:leftChars="0" w:hanging="415" w:hangingChars="173"/>
        <w:textAlignment w:val="auto"/>
        <w:rPr>
          <w:rFonts w:hint="eastAsia" w:ascii="宋体" w:hAnsi="宋体" w:eastAsia="宋体" w:cs="宋体"/>
          <w:color w:val="auto"/>
          <w:sz w:val="24"/>
          <w:szCs w:val="24"/>
          <w:highlight w:val="none"/>
          <w:lang w:val="en-US" w:eastAsia="zh-CN"/>
        </w:rPr>
      </w:pPr>
      <w:r>
        <w:rPr>
          <w:rFonts w:hint="eastAsia" w:ascii="宋体" w:hAnsi="宋体" w:cs="宋体"/>
          <w:color w:val="auto"/>
          <w:sz w:val="24"/>
          <w:szCs w:val="24"/>
          <w:highlight w:val="none"/>
          <w:lang w:val="en-US" w:eastAsia="zh-CN"/>
        </w:rPr>
        <w:t>中标人</w:t>
      </w:r>
      <w:r>
        <w:rPr>
          <w:rFonts w:hint="eastAsia" w:ascii="宋体" w:hAnsi="宋体" w:eastAsia="宋体" w:cs="宋体"/>
          <w:color w:val="auto"/>
          <w:sz w:val="24"/>
          <w:szCs w:val="24"/>
          <w:highlight w:val="none"/>
          <w:lang w:val="en-US" w:eastAsia="zh-CN"/>
        </w:rPr>
        <w:t>进行车辆停放管理工作，</w:t>
      </w:r>
      <w:r>
        <w:rPr>
          <w:rFonts w:hint="eastAsia" w:ascii="宋体" w:hAnsi="宋体" w:cs="宋体"/>
          <w:color w:val="auto"/>
          <w:sz w:val="24"/>
          <w:szCs w:val="24"/>
          <w:highlight w:val="none"/>
          <w:lang w:val="en-US" w:eastAsia="zh-CN"/>
        </w:rPr>
        <w:t>中标人</w:t>
      </w:r>
      <w:r>
        <w:rPr>
          <w:rFonts w:hint="eastAsia" w:ascii="宋体" w:hAnsi="宋体" w:eastAsia="宋体" w:cs="宋体"/>
          <w:color w:val="auto"/>
          <w:sz w:val="24"/>
          <w:szCs w:val="24"/>
          <w:highlight w:val="none"/>
          <w:lang w:val="en-US" w:eastAsia="zh-CN"/>
        </w:rPr>
        <w:t>为保证村容村貌和交通顺畅，对于个别车辆不遵守“村内停放规定”同时不服从工作人员协调，屡教不改乱停乱放的车辆，由</w:t>
      </w:r>
      <w:r>
        <w:rPr>
          <w:rFonts w:hint="eastAsia" w:ascii="宋体" w:hAnsi="宋体" w:cs="宋体"/>
          <w:color w:val="auto"/>
          <w:sz w:val="24"/>
          <w:szCs w:val="24"/>
          <w:highlight w:val="none"/>
          <w:lang w:val="en-US" w:eastAsia="zh-CN"/>
        </w:rPr>
        <w:t>中标人</w:t>
      </w:r>
      <w:r>
        <w:rPr>
          <w:rFonts w:hint="eastAsia" w:ascii="宋体" w:hAnsi="宋体" w:eastAsia="宋体" w:cs="宋体"/>
          <w:color w:val="auto"/>
          <w:sz w:val="24"/>
          <w:szCs w:val="24"/>
          <w:highlight w:val="none"/>
          <w:lang w:val="en-US" w:eastAsia="zh-CN"/>
        </w:rPr>
        <w:t>拉入黑名单处理（写保证书确保以后不发生同类情况的可以放行，超过3次不允许进入本村区内停车），如有必要村委治安队可协助</w:t>
      </w:r>
      <w:r>
        <w:rPr>
          <w:rFonts w:hint="eastAsia" w:ascii="宋体" w:hAnsi="宋体" w:cs="宋体"/>
          <w:color w:val="auto"/>
          <w:sz w:val="24"/>
          <w:szCs w:val="24"/>
          <w:highlight w:val="none"/>
          <w:lang w:val="en-US" w:eastAsia="zh-CN"/>
        </w:rPr>
        <w:t>中标人</w:t>
      </w:r>
      <w:r>
        <w:rPr>
          <w:rFonts w:hint="eastAsia" w:ascii="宋体" w:hAnsi="宋体" w:eastAsia="宋体" w:cs="宋体"/>
          <w:color w:val="auto"/>
          <w:sz w:val="24"/>
          <w:szCs w:val="24"/>
          <w:highlight w:val="none"/>
          <w:lang w:val="en-US" w:eastAsia="zh-CN"/>
        </w:rPr>
        <w:t>处理。</w:t>
      </w:r>
    </w:p>
    <w:p w14:paraId="225F746C">
      <w:pPr>
        <w:pStyle w:val="31"/>
        <w:keepNext w:val="0"/>
        <w:keepLines w:val="0"/>
        <w:pageBreakBefore w:val="0"/>
        <w:widowControl w:val="0"/>
        <w:numPr>
          <w:ilvl w:val="2"/>
          <w:numId w:val="11"/>
        </w:numPr>
        <w:kinsoku/>
        <w:wordWrap/>
        <w:overflowPunct/>
        <w:topLinePunct w:val="0"/>
        <w:autoSpaceDE/>
        <w:autoSpaceDN/>
        <w:bidi w:val="0"/>
        <w:adjustRightInd/>
        <w:snapToGrid/>
        <w:spacing w:line="360" w:lineRule="auto"/>
        <w:ind w:left="415" w:leftChars="0" w:hanging="415" w:hangingChars="173"/>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所有停放在消防通道的车辆进行拉入黑名单处理（写保证书确保以后不发生同类情况的可以放行，超过3次不允许进入本村内停车）。</w:t>
      </w:r>
    </w:p>
    <w:p w14:paraId="6335CFD5">
      <w:pPr>
        <w:pStyle w:val="31"/>
        <w:keepNext w:val="0"/>
        <w:keepLines w:val="0"/>
        <w:pageBreakBefore w:val="0"/>
        <w:widowControl w:val="0"/>
        <w:numPr>
          <w:ilvl w:val="2"/>
          <w:numId w:val="11"/>
        </w:numPr>
        <w:kinsoku/>
        <w:wordWrap/>
        <w:overflowPunct/>
        <w:topLinePunct w:val="0"/>
        <w:autoSpaceDE/>
        <w:autoSpaceDN/>
        <w:bidi w:val="0"/>
        <w:adjustRightInd/>
        <w:snapToGrid/>
        <w:spacing w:line="360" w:lineRule="auto"/>
        <w:ind w:left="415" w:leftChars="0" w:hanging="415" w:hangingChars="173"/>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占用车位、消防通道、行车行人通道的乱摆卖问题处理方法：派放和张贴宣传单张进行不间断推广，不准占用位置乱摆卖，发现有此情况的，进行发放警告通知单，限定时间撤离现场。警告通知后拒绝撤离现场的，拉入黑名单或</w:t>
      </w:r>
      <w:r>
        <w:rPr>
          <w:rFonts w:hint="eastAsia" w:ascii="宋体" w:hAnsi="宋体" w:cs="宋体"/>
          <w:color w:val="auto"/>
          <w:sz w:val="24"/>
          <w:szCs w:val="24"/>
          <w:highlight w:val="none"/>
          <w:lang w:val="en-US" w:eastAsia="zh-CN"/>
        </w:rPr>
        <w:t>中标人</w:t>
      </w:r>
      <w:r>
        <w:rPr>
          <w:rFonts w:hint="eastAsia" w:ascii="宋体" w:hAnsi="宋体" w:eastAsia="宋体" w:cs="宋体"/>
          <w:color w:val="auto"/>
          <w:sz w:val="24"/>
          <w:szCs w:val="24"/>
          <w:highlight w:val="none"/>
          <w:lang w:val="en-US" w:eastAsia="zh-CN"/>
        </w:rPr>
        <w:t>通知执法相关部门协调进行处理。</w:t>
      </w:r>
    </w:p>
    <w:p w14:paraId="6348FC94">
      <w:pPr>
        <w:pStyle w:val="31"/>
        <w:keepNext w:val="0"/>
        <w:keepLines w:val="0"/>
        <w:pageBreakBefore w:val="0"/>
        <w:widowControl w:val="0"/>
        <w:numPr>
          <w:ilvl w:val="2"/>
          <w:numId w:val="11"/>
        </w:numPr>
        <w:kinsoku/>
        <w:wordWrap/>
        <w:overflowPunct/>
        <w:topLinePunct w:val="0"/>
        <w:autoSpaceDE/>
        <w:autoSpaceDN/>
        <w:bidi w:val="0"/>
        <w:adjustRightInd/>
        <w:snapToGrid/>
        <w:spacing w:line="360" w:lineRule="auto"/>
        <w:ind w:left="415" w:leftChars="0" w:hanging="415" w:hangingChars="173"/>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规范停车常见的手段有：积分制度，优惠取消，黑名单制度。</w:t>
      </w:r>
    </w:p>
    <w:p w14:paraId="1EFF2CFF">
      <w:pPr>
        <w:pStyle w:val="31"/>
        <w:keepNext w:val="0"/>
        <w:keepLines w:val="0"/>
        <w:pageBreakBefore w:val="0"/>
        <w:widowControl w:val="0"/>
        <w:numPr>
          <w:ilvl w:val="2"/>
          <w:numId w:val="11"/>
        </w:numPr>
        <w:kinsoku/>
        <w:wordWrap/>
        <w:overflowPunct/>
        <w:topLinePunct w:val="0"/>
        <w:autoSpaceDE/>
        <w:autoSpaceDN/>
        <w:bidi w:val="0"/>
        <w:adjustRightInd/>
        <w:snapToGrid/>
        <w:spacing w:line="360" w:lineRule="auto"/>
        <w:ind w:left="415" w:leftChars="0" w:hanging="415" w:hangingChars="173"/>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系统需具备有智能巡检App，每次村内违停，巡检人员可以拍照上传到系统，</w:t>
      </w:r>
      <w:r>
        <w:rPr>
          <w:rFonts w:hint="eastAsia" w:ascii="宋体" w:hAnsi="宋体" w:cs="宋体"/>
          <w:color w:val="auto"/>
          <w:sz w:val="24"/>
          <w:szCs w:val="24"/>
          <w:highlight w:val="none"/>
          <w:lang w:val="en-US" w:eastAsia="zh-CN"/>
        </w:rPr>
        <w:t>前三次</w:t>
      </w:r>
      <w:r>
        <w:rPr>
          <w:rFonts w:hint="eastAsia" w:ascii="宋体" w:hAnsi="宋体" w:eastAsia="宋体" w:cs="宋体"/>
          <w:color w:val="auto"/>
          <w:sz w:val="24"/>
          <w:szCs w:val="24"/>
          <w:highlight w:val="none"/>
          <w:lang w:val="en-US" w:eastAsia="zh-CN"/>
        </w:rPr>
        <w:t>可以告知和劝解，如果3次以上违规停车，取消车主对应的停车优惠。</w:t>
      </w:r>
      <w:r>
        <w:rPr>
          <w:rFonts w:hint="eastAsia" w:ascii="宋体" w:hAnsi="宋体" w:cs="宋体"/>
          <w:color w:val="auto"/>
          <w:sz w:val="24"/>
          <w:szCs w:val="24"/>
          <w:highlight w:val="none"/>
          <w:lang w:val="en-US" w:eastAsia="zh-CN"/>
        </w:rPr>
        <w:t>中标人</w:t>
      </w:r>
      <w:r>
        <w:rPr>
          <w:rFonts w:hint="eastAsia" w:ascii="宋体" w:hAnsi="宋体" w:eastAsia="宋体" w:cs="宋体"/>
          <w:color w:val="auto"/>
          <w:sz w:val="24"/>
          <w:szCs w:val="24"/>
          <w:highlight w:val="none"/>
          <w:lang w:val="en-US" w:eastAsia="zh-CN"/>
        </w:rPr>
        <w:t>在设置停车收费规则时，可以公示优惠后的价格，一旦违规按照原价收费。多次劝告无效的可以拉入黑名单，限制出入时间，优惠月票的购买等。</w:t>
      </w:r>
    </w:p>
    <w:p w14:paraId="34CDD120">
      <w:pPr>
        <w:pStyle w:val="31"/>
        <w:numPr>
          <w:ilvl w:val="0"/>
          <w:numId w:val="0"/>
        </w:numPr>
        <w:spacing w:line="360" w:lineRule="auto"/>
        <w:ind w:leftChars="-173"/>
        <w:rPr>
          <w:rFonts w:hint="eastAsia" w:ascii="宋体" w:hAnsi="宋体" w:eastAsia="宋体" w:cs="宋体"/>
          <w:color w:val="auto"/>
          <w:sz w:val="24"/>
          <w:szCs w:val="24"/>
          <w:highlight w:val="none"/>
          <w:lang w:val="en-US" w:eastAsia="zh-CN"/>
        </w:rPr>
      </w:pPr>
    </w:p>
    <w:p w14:paraId="257AEF25">
      <w:pPr>
        <w:pStyle w:val="31"/>
        <w:numPr>
          <w:ilvl w:val="0"/>
          <w:numId w:val="11"/>
        </w:numPr>
        <w:spacing w:line="360" w:lineRule="auto"/>
        <w:ind w:left="417" w:leftChars="0" w:hanging="417" w:hangingChars="173"/>
        <w:rPr>
          <w:rFonts w:hint="eastAsia" w:ascii="宋体" w:hAnsi="宋体" w:eastAsia="宋体" w:cs="宋体"/>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停车应急预案</w:t>
      </w:r>
    </w:p>
    <w:p w14:paraId="2DC28844">
      <w:pPr>
        <w:pStyle w:val="31"/>
        <w:keepNext w:val="0"/>
        <w:keepLines w:val="0"/>
        <w:pageBreakBefore w:val="0"/>
        <w:widowControl w:val="0"/>
        <w:numPr>
          <w:ilvl w:val="1"/>
          <w:numId w:val="11"/>
        </w:numPr>
        <w:kinsoku/>
        <w:wordWrap/>
        <w:overflowPunct/>
        <w:topLinePunct w:val="0"/>
        <w:autoSpaceDE/>
        <w:autoSpaceDN/>
        <w:bidi w:val="0"/>
        <w:adjustRightInd/>
        <w:snapToGrid/>
        <w:spacing w:line="360" w:lineRule="auto"/>
        <w:ind w:left="415" w:leftChars="0" w:hanging="415" w:hangingChars="173"/>
        <w:textAlignment w:val="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防疫或救援</w:t>
      </w:r>
      <w:r>
        <w:rPr>
          <w:rFonts w:hint="eastAsia" w:ascii="宋体" w:hAnsi="宋体" w:cs="宋体"/>
          <w:b w:val="0"/>
          <w:bCs w:val="0"/>
          <w:color w:val="auto"/>
          <w:sz w:val="24"/>
          <w:szCs w:val="24"/>
          <w:highlight w:val="none"/>
          <w:lang w:val="en-US" w:eastAsia="zh-CN"/>
        </w:rPr>
        <w:t>等情况发生时</w:t>
      </w:r>
      <w:r>
        <w:rPr>
          <w:rFonts w:hint="eastAsia" w:ascii="宋体" w:hAnsi="宋体" w:eastAsia="宋体" w:cs="宋体"/>
          <w:b w:val="0"/>
          <w:bCs w:val="0"/>
          <w:color w:val="auto"/>
          <w:sz w:val="24"/>
          <w:szCs w:val="24"/>
          <w:highlight w:val="none"/>
          <w:lang w:val="en-US" w:eastAsia="zh-CN"/>
        </w:rPr>
        <w:t>，</w:t>
      </w:r>
      <w:r>
        <w:rPr>
          <w:rFonts w:hint="eastAsia" w:ascii="宋体" w:hAnsi="宋体" w:cs="宋体"/>
          <w:b w:val="0"/>
          <w:bCs w:val="0"/>
          <w:color w:val="auto"/>
          <w:sz w:val="24"/>
          <w:szCs w:val="24"/>
          <w:highlight w:val="none"/>
          <w:lang w:val="en-US" w:eastAsia="zh-CN"/>
        </w:rPr>
        <w:t>应</w:t>
      </w:r>
      <w:r>
        <w:rPr>
          <w:rFonts w:hint="eastAsia" w:ascii="宋体" w:hAnsi="宋体" w:eastAsia="宋体" w:cs="宋体"/>
          <w:b w:val="0"/>
          <w:bCs w:val="0"/>
          <w:color w:val="auto"/>
          <w:sz w:val="24"/>
          <w:szCs w:val="24"/>
          <w:highlight w:val="none"/>
          <w:lang w:val="en-US" w:eastAsia="zh-CN"/>
        </w:rPr>
        <w:t>提前远程开闸放行。警车，消防车等车辆默认设置自动放行。</w:t>
      </w:r>
      <w:r>
        <w:rPr>
          <w:rFonts w:hint="eastAsia" w:ascii="宋体" w:hAnsi="宋体" w:cs="宋体"/>
          <w:b w:val="0"/>
          <w:bCs w:val="0"/>
          <w:color w:val="auto"/>
          <w:sz w:val="24"/>
          <w:szCs w:val="24"/>
          <w:highlight w:val="none"/>
          <w:lang w:val="en-US" w:eastAsia="zh-CN"/>
        </w:rPr>
        <w:t>如遇其他</w:t>
      </w:r>
      <w:r>
        <w:rPr>
          <w:rFonts w:hint="eastAsia" w:ascii="宋体" w:hAnsi="宋体" w:eastAsia="宋体" w:cs="宋体"/>
          <w:b w:val="0"/>
          <w:bCs w:val="0"/>
          <w:color w:val="auto"/>
          <w:sz w:val="24"/>
          <w:szCs w:val="24"/>
          <w:highlight w:val="none"/>
          <w:lang w:val="en-US" w:eastAsia="zh-CN"/>
        </w:rPr>
        <w:t>特殊情况，</w:t>
      </w:r>
      <w:r>
        <w:rPr>
          <w:rFonts w:hint="eastAsia" w:ascii="宋体" w:hAnsi="宋体" w:cs="宋体"/>
          <w:b w:val="0"/>
          <w:bCs w:val="0"/>
          <w:color w:val="auto"/>
          <w:sz w:val="24"/>
          <w:szCs w:val="24"/>
          <w:highlight w:val="none"/>
          <w:lang w:val="en-US" w:eastAsia="zh-CN"/>
        </w:rPr>
        <w:t>应</w:t>
      </w:r>
      <w:r>
        <w:rPr>
          <w:rFonts w:hint="eastAsia" w:ascii="宋体" w:hAnsi="宋体" w:eastAsia="宋体" w:cs="宋体"/>
          <w:b w:val="0"/>
          <w:bCs w:val="0"/>
          <w:color w:val="auto"/>
          <w:sz w:val="24"/>
          <w:szCs w:val="24"/>
          <w:highlight w:val="none"/>
          <w:lang w:val="en-US" w:eastAsia="zh-CN"/>
        </w:rPr>
        <w:t>人为远程放行。</w:t>
      </w:r>
    </w:p>
    <w:p w14:paraId="059644A9">
      <w:pPr>
        <w:pStyle w:val="31"/>
        <w:keepNext w:val="0"/>
        <w:keepLines w:val="0"/>
        <w:pageBreakBefore w:val="0"/>
        <w:widowControl w:val="0"/>
        <w:numPr>
          <w:ilvl w:val="1"/>
          <w:numId w:val="11"/>
        </w:numPr>
        <w:kinsoku/>
        <w:wordWrap/>
        <w:overflowPunct/>
        <w:topLinePunct w:val="0"/>
        <w:autoSpaceDE/>
        <w:autoSpaceDN/>
        <w:bidi w:val="0"/>
        <w:adjustRightInd/>
        <w:snapToGrid/>
        <w:spacing w:line="360" w:lineRule="auto"/>
        <w:ind w:left="415" w:leftChars="0" w:hanging="415" w:hangingChars="173"/>
        <w:textAlignment w:val="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停车系统</w:t>
      </w:r>
      <w:r>
        <w:rPr>
          <w:rFonts w:hint="eastAsia" w:ascii="宋体" w:hAnsi="宋体" w:cs="宋体"/>
          <w:b w:val="0"/>
          <w:bCs w:val="0"/>
          <w:color w:val="auto"/>
          <w:sz w:val="24"/>
          <w:szCs w:val="24"/>
          <w:highlight w:val="none"/>
          <w:lang w:val="en-US" w:eastAsia="zh-CN"/>
        </w:rPr>
        <w:t>应</w:t>
      </w:r>
      <w:r>
        <w:rPr>
          <w:rFonts w:hint="eastAsia" w:ascii="宋体" w:hAnsi="宋体" w:eastAsia="宋体" w:cs="宋体"/>
          <w:b w:val="0"/>
          <w:bCs w:val="0"/>
          <w:color w:val="auto"/>
          <w:sz w:val="24"/>
          <w:szCs w:val="24"/>
          <w:highlight w:val="none"/>
          <w:lang w:val="en-US" w:eastAsia="zh-CN"/>
        </w:rPr>
        <w:t>接入消防联动信号，一旦有消防信号，所有停车闸杆自动抬杆。</w:t>
      </w:r>
    </w:p>
    <w:p w14:paraId="33212450">
      <w:pPr>
        <w:pStyle w:val="31"/>
        <w:keepNext w:val="0"/>
        <w:keepLines w:val="0"/>
        <w:pageBreakBefore w:val="0"/>
        <w:widowControl w:val="0"/>
        <w:numPr>
          <w:ilvl w:val="1"/>
          <w:numId w:val="11"/>
        </w:numPr>
        <w:kinsoku/>
        <w:wordWrap/>
        <w:overflowPunct/>
        <w:topLinePunct w:val="0"/>
        <w:autoSpaceDE/>
        <w:autoSpaceDN/>
        <w:bidi w:val="0"/>
        <w:adjustRightInd/>
        <w:snapToGrid/>
        <w:spacing w:line="360" w:lineRule="auto"/>
        <w:ind w:left="415" w:leftChars="0" w:hanging="415" w:hangingChars="173"/>
        <w:textAlignment w:val="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水灾</w:t>
      </w:r>
      <w:r>
        <w:rPr>
          <w:rFonts w:hint="eastAsia" w:ascii="宋体" w:hAnsi="宋体" w:cs="宋体"/>
          <w:b w:val="0"/>
          <w:bCs w:val="0"/>
          <w:color w:val="auto"/>
          <w:sz w:val="24"/>
          <w:szCs w:val="24"/>
          <w:highlight w:val="none"/>
          <w:lang w:val="en-US" w:eastAsia="zh-CN"/>
        </w:rPr>
        <w:t>、</w:t>
      </w:r>
      <w:r>
        <w:rPr>
          <w:rFonts w:hint="eastAsia" w:ascii="宋体" w:hAnsi="宋体" w:eastAsia="宋体" w:cs="宋体"/>
          <w:b w:val="0"/>
          <w:bCs w:val="0"/>
          <w:color w:val="auto"/>
          <w:sz w:val="24"/>
          <w:szCs w:val="24"/>
          <w:highlight w:val="none"/>
          <w:lang w:val="en-US" w:eastAsia="zh-CN"/>
        </w:rPr>
        <w:t>爆炸等异常情况发生时，</w:t>
      </w:r>
      <w:r>
        <w:rPr>
          <w:rFonts w:hint="eastAsia" w:ascii="宋体" w:hAnsi="宋体" w:cs="宋体"/>
          <w:b w:val="0"/>
          <w:bCs w:val="0"/>
          <w:color w:val="auto"/>
          <w:sz w:val="24"/>
          <w:szCs w:val="24"/>
          <w:highlight w:val="none"/>
          <w:lang w:val="en-US" w:eastAsia="zh-CN"/>
        </w:rPr>
        <w:t>应通过</w:t>
      </w:r>
      <w:r>
        <w:rPr>
          <w:rFonts w:hint="eastAsia" w:ascii="宋体" w:hAnsi="宋体" w:eastAsia="宋体" w:cs="宋体"/>
          <w:b w:val="0"/>
          <w:bCs w:val="0"/>
          <w:color w:val="auto"/>
          <w:sz w:val="24"/>
          <w:szCs w:val="24"/>
          <w:highlight w:val="none"/>
          <w:lang w:val="en-US" w:eastAsia="zh-CN"/>
        </w:rPr>
        <w:t>24小时远程监控中心</w:t>
      </w:r>
      <w:r>
        <w:rPr>
          <w:rFonts w:hint="eastAsia" w:ascii="宋体" w:hAnsi="宋体" w:cs="宋体"/>
          <w:b w:val="0"/>
          <w:bCs w:val="0"/>
          <w:color w:val="auto"/>
          <w:sz w:val="24"/>
          <w:szCs w:val="24"/>
          <w:highlight w:val="none"/>
          <w:lang w:val="en-US" w:eastAsia="zh-CN"/>
        </w:rPr>
        <w:t>通知</w:t>
      </w:r>
      <w:r>
        <w:rPr>
          <w:rFonts w:hint="eastAsia" w:ascii="宋体" w:hAnsi="宋体" w:eastAsia="宋体" w:cs="宋体"/>
          <w:b w:val="0"/>
          <w:bCs w:val="0"/>
          <w:color w:val="auto"/>
          <w:sz w:val="24"/>
          <w:szCs w:val="24"/>
          <w:highlight w:val="none"/>
          <w:lang w:val="en-US" w:eastAsia="zh-CN"/>
        </w:rPr>
        <w:t>就近巡检人员前往</w:t>
      </w:r>
      <w:r>
        <w:rPr>
          <w:rFonts w:hint="eastAsia" w:ascii="宋体" w:hAnsi="宋体" w:cs="宋体"/>
          <w:b w:val="0"/>
          <w:bCs w:val="0"/>
          <w:color w:val="auto"/>
          <w:sz w:val="24"/>
          <w:szCs w:val="24"/>
          <w:highlight w:val="none"/>
          <w:lang w:val="en-US" w:eastAsia="zh-CN"/>
        </w:rPr>
        <w:t>进行</w:t>
      </w:r>
      <w:r>
        <w:rPr>
          <w:rFonts w:hint="eastAsia" w:ascii="宋体" w:hAnsi="宋体" w:eastAsia="宋体" w:cs="宋体"/>
          <w:b w:val="0"/>
          <w:bCs w:val="0"/>
          <w:color w:val="auto"/>
          <w:sz w:val="24"/>
          <w:szCs w:val="24"/>
          <w:highlight w:val="none"/>
          <w:lang w:val="en-US" w:eastAsia="zh-CN"/>
        </w:rPr>
        <w:t>人工处理</w:t>
      </w:r>
      <w:r>
        <w:rPr>
          <w:rFonts w:hint="eastAsia" w:ascii="宋体" w:hAnsi="宋体" w:cs="宋体"/>
          <w:b w:val="0"/>
          <w:bCs w:val="0"/>
          <w:color w:val="auto"/>
          <w:sz w:val="24"/>
          <w:szCs w:val="24"/>
          <w:highlight w:val="none"/>
          <w:lang w:val="en-US" w:eastAsia="zh-CN"/>
        </w:rPr>
        <w:t>，</w:t>
      </w:r>
      <w:r>
        <w:rPr>
          <w:rFonts w:hint="eastAsia" w:ascii="宋体" w:hAnsi="宋体" w:eastAsia="宋体" w:cs="宋体"/>
          <w:b w:val="0"/>
          <w:bCs w:val="0"/>
          <w:color w:val="auto"/>
          <w:sz w:val="24"/>
          <w:szCs w:val="24"/>
          <w:highlight w:val="none"/>
          <w:lang w:val="en-US" w:eastAsia="zh-CN"/>
        </w:rPr>
        <w:t>保证道路畅行。</w:t>
      </w:r>
    </w:p>
    <w:p w14:paraId="3D1584FF">
      <w:pPr>
        <w:pStyle w:val="31"/>
        <w:numPr>
          <w:ilvl w:val="0"/>
          <w:numId w:val="0"/>
        </w:numPr>
        <w:spacing w:line="360" w:lineRule="auto"/>
        <w:ind w:leftChars="-173"/>
        <w:rPr>
          <w:rFonts w:hint="eastAsia" w:ascii="宋体" w:hAnsi="宋体" w:eastAsia="宋体" w:cs="宋体"/>
          <w:b/>
          <w:bCs/>
          <w:color w:val="auto"/>
          <w:sz w:val="24"/>
          <w:szCs w:val="24"/>
          <w:highlight w:val="none"/>
          <w:lang w:val="en-US" w:eastAsia="zh-CN"/>
        </w:rPr>
      </w:pPr>
    </w:p>
    <w:p w14:paraId="3C3A3668">
      <w:pPr>
        <w:pStyle w:val="31"/>
        <w:numPr>
          <w:ilvl w:val="0"/>
          <w:numId w:val="11"/>
        </w:numPr>
        <w:spacing w:line="360" w:lineRule="auto"/>
        <w:ind w:left="417" w:leftChars="0" w:hanging="417" w:hangingChars="173"/>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考核标准和办法</w:t>
      </w:r>
    </w:p>
    <w:tbl>
      <w:tblPr>
        <w:tblStyle w:val="20"/>
        <w:tblW w:w="938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 w:type="dxa"/>
          <w:bottom w:w="0" w:type="dxa"/>
          <w:right w:w="10" w:type="dxa"/>
        </w:tblCellMar>
      </w:tblPr>
      <w:tblGrid>
        <w:gridCol w:w="643"/>
        <w:gridCol w:w="1373"/>
        <w:gridCol w:w="3346"/>
        <w:gridCol w:w="2813"/>
        <w:gridCol w:w="1214"/>
      </w:tblGrid>
      <w:tr w14:paraId="3E514D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 w:type="dxa"/>
            <w:bottom w:w="0" w:type="dxa"/>
            <w:right w:w="10" w:type="dxa"/>
          </w:tblCellMar>
        </w:tblPrEx>
        <w:trPr>
          <w:trHeight w:val="562" w:hRule="exact"/>
        </w:trPr>
        <w:tc>
          <w:tcPr>
            <w:tcW w:w="2016" w:type="dxa"/>
            <w:gridSpan w:val="2"/>
            <w:shd w:val="clear" w:color="auto" w:fill="auto"/>
            <w:vAlign w:val="center"/>
          </w:tcPr>
          <w:p w14:paraId="7F445380">
            <w:pPr>
              <w:pStyle w:val="52"/>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4"/>
                <w:szCs w:val="24"/>
                <w:highlight w:val="none"/>
              </w:rPr>
            </w:pPr>
            <w:r>
              <w:rPr>
                <w:rFonts w:hint="eastAsia" w:ascii="宋体" w:hAnsi="宋体" w:eastAsia="宋体" w:cs="宋体"/>
                <w:color w:val="000000"/>
                <w:spacing w:val="0"/>
                <w:w w:val="100"/>
                <w:position w:val="0"/>
                <w:sz w:val="24"/>
                <w:szCs w:val="24"/>
                <w:highlight w:val="none"/>
                <w:lang w:val="en-US" w:eastAsia="zh-CN"/>
              </w:rPr>
              <w:t>考核</w:t>
            </w:r>
            <w:r>
              <w:rPr>
                <w:rFonts w:hint="eastAsia" w:ascii="宋体" w:hAnsi="宋体" w:eastAsia="宋体" w:cs="宋体"/>
                <w:color w:val="000000"/>
                <w:spacing w:val="0"/>
                <w:w w:val="100"/>
                <w:position w:val="0"/>
                <w:sz w:val="24"/>
                <w:szCs w:val="24"/>
                <w:highlight w:val="none"/>
              </w:rPr>
              <w:t>项目</w:t>
            </w:r>
          </w:p>
        </w:tc>
        <w:tc>
          <w:tcPr>
            <w:tcW w:w="3346" w:type="dxa"/>
            <w:shd w:val="clear" w:color="auto" w:fill="auto"/>
            <w:vAlign w:val="center"/>
          </w:tcPr>
          <w:p w14:paraId="730DF615">
            <w:pPr>
              <w:pStyle w:val="52"/>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4"/>
                <w:szCs w:val="24"/>
                <w:highlight w:val="none"/>
              </w:rPr>
            </w:pPr>
            <w:r>
              <w:rPr>
                <w:rFonts w:hint="eastAsia" w:ascii="宋体" w:hAnsi="宋体" w:eastAsia="宋体" w:cs="宋体"/>
                <w:color w:val="000000"/>
                <w:spacing w:val="0"/>
                <w:w w:val="100"/>
                <w:position w:val="0"/>
                <w:sz w:val="24"/>
                <w:szCs w:val="24"/>
                <w:highlight w:val="none"/>
              </w:rPr>
              <w:t>考核标准</w:t>
            </w:r>
          </w:p>
        </w:tc>
        <w:tc>
          <w:tcPr>
            <w:tcW w:w="2813" w:type="dxa"/>
            <w:shd w:val="clear" w:color="auto" w:fill="auto"/>
            <w:vAlign w:val="center"/>
          </w:tcPr>
          <w:p w14:paraId="2AA8F5A7">
            <w:pPr>
              <w:pStyle w:val="52"/>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4"/>
                <w:szCs w:val="24"/>
                <w:highlight w:val="none"/>
              </w:rPr>
            </w:pPr>
            <w:r>
              <w:rPr>
                <w:rFonts w:hint="eastAsia" w:ascii="宋体" w:hAnsi="宋体" w:eastAsia="宋体" w:cs="宋体"/>
                <w:color w:val="000000"/>
                <w:spacing w:val="0"/>
                <w:w w:val="100"/>
                <w:position w:val="0"/>
                <w:sz w:val="24"/>
                <w:szCs w:val="24"/>
                <w:highlight w:val="none"/>
              </w:rPr>
              <w:t>考核办法</w:t>
            </w:r>
          </w:p>
        </w:tc>
        <w:tc>
          <w:tcPr>
            <w:tcW w:w="1214" w:type="dxa"/>
            <w:shd w:val="clear" w:color="auto" w:fill="auto"/>
            <w:vAlign w:val="center"/>
          </w:tcPr>
          <w:p w14:paraId="2C3B993E">
            <w:pPr>
              <w:pStyle w:val="52"/>
              <w:keepNext w:val="0"/>
              <w:keepLines w:val="0"/>
              <w:widowControl w:val="0"/>
              <w:shd w:val="clear" w:color="auto" w:fill="auto"/>
              <w:tabs>
                <w:tab w:val="left" w:pos="1060"/>
                <w:tab w:val="left" w:pos="1680"/>
              </w:tabs>
              <w:bidi w:val="0"/>
              <w:spacing w:before="0" w:after="0" w:line="240" w:lineRule="auto"/>
              <w:ind w:left="0" w:right="-66" w:rightChars="0" w:firstLine="0"/>
              <w:jc w:val="center"/>
              <w:rPr>
                <w:rFonts w:hint="eastAsia" w:ascii="宋体" w:hAnsi="宋体" w:eastAsia="宋体" w:cs="宋体"/>
                <w:sz w:val="24"/>
                <w:szCs w:val="24"/>
                <w:highlight w:val="none"/>
                <w:lang w:eastAsia="zh-CN"/>
              </w:rPr>
            </w:pPr>
            <w:r>
              <w:rPr>
                <w:rFonts w:hint="eastAsia" w:ascii="宋体" w:hAnsi="宋体" w:eastAsia="宋体" w:cs="宋体"/>
                <w:color w:val="000000"/>
                <w:spacing w:val="0"/>
                <w:w w:val="100"/>
                <w:position w:val="0"/>
                <w:sz w:val="24"/>
                <w:szCs w:val="24"/>
                <w:highlight w:val="none"/>
              </w:rPr>
              <w:t>考核</w:t>
            </w:r>
            <w:r>
              <w:rPr>
                <w:rFonts w:hint="eastAsia" w:ascii="宋体" w:hAnsi="宋体" w:eastAsia="宋体" w:cs="宋体"/>
                <w:color w:val="000000"/>
                <w:spacing w:val="0"/>
                <w:w w:val="100"/>
                <w:position w:val="0"/>
                <w:sz w:val="24"/>
                <w:szCs w:val="24"/>
                <w:highlight w:val="none"/>
                <w:lang w:val="en-US" w:eastAsia="zh-CN"/>
              </w:rPr>
              <w:t>人员</w:t>
            </w:r>
          </w:p>
        </w:tc>
      </w:tr>
      <w:tr w14:paraId="5D2408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 w:type="dxa"/>
            <w:bottom w:w="0" w:type="dxa"/>
            <w:right w:w="10" w:type="dxa"/>
          </w:tblCellMar>
        </w:tblPrEx>
        <w:trPr>
          <w:trHeight w:val="1020" w:hRule="exact"/>
        </w:trPr>
        <w:tc>
          <w:tcPr>
            <w:tcW w:w="643" w:type="dxa"/>
            <w:vMerge w:val="restart"/>
            <w:shd w:val="clear" w:color="auto" w:fill="auto"/>
            <w:vAlign w:val="center"/>
          </w:tcPr>
          <w:p w14:paraId="1BB4D52B">
            <w:pPr>
              <w:keepNext w:val="0"/>
              <w:keepLines w:val="0"/>
              <w:pageBreakBefore w:val="0"/>
              <w:widowControl w:val="0"/>
              <w:kinsoku/>
              <w:wordWrap/>
              <w:overflowPunct/>
              <w:topLinePunct w:val="0"/>
              <w:autoSpaceDE/>
              <w:autoSpaceDN/>
              <w:bidi w:val="0"/>
              <w:adjustRightInd/>
              <w:snapToGrid/>
              <w:ind w:left="21" w:leftChars="10" w:right="21" w:rightChars="10" w:firstLine="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基础</w:t>
            </w:r>
          </w:p>
          <w:p w14:paraId="72553ED3">
            <w:pPr>
              <w:keepNext w:val="0"/>
              <w:keepLines w:val="0"/>
              <w:pageBreakBefore w:val="0"/>
              <w:widowControl w:val="0"/>
              <w:kinsoku/>
              <w:wordWrap/>
              <w:overflowPunct/>
              <w:topLinePunct w:val="0"/>
              <w:autoSpaceDE/>
              <w:autoSpaceDN/>
              <w:bidi w:val="0"/>
              <w:adjustRightInd/>
              <w:snapToGrid/>
              <w:ind w:left="21" w:leftChars="10" w:right="21" w:rightChars="10" w:firstLine="0"/>
              <w:textAlignment w:val="auto"/>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val="en-US" w:eastAsia="zh-CN"/>
              </w:rPr>
              <w:t>质量</w:t>
            </w:r>
          </w:p>
        </w:tc>
        <w:tc>
          <w:tcPr>
            <w:tcW w:w="1373" w:type="dxa"/>
            <w:vMerge w:val="restart"/>
            <w:shd w:val="clear" w:color="auto" w:fill="auto"/>
            <w:vAlign w:val="center"/>
          </w:tcPr>
          <w:p w14:paraId="17A0BFD8">
            <w:pPr>
              <w:keepNext w:val="0"/>
              <w:keepLines w:val="0"/>
              <w:pageBreakBefore w:val="0"/>
              <w:widowControl w:val="0"/>
              <w:kinsoku/>
              <w:wordWrap/>
              <w:overflowPunct/>
              <w:topLinePunct w:val="0"/>
              <w:autoSpaceDE/>
              <w:autoSpaceDN/>
              <w:bidi w:val="0"/>
              <w:adjustRightInd/>
              <w:snapToGrid/>
              <w:ind w:left="21" w:leftChars="10" w:right="21" w:rightChars="10" w:firstLine="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人员资质</w:t>
            </w:r>
          </w:p>
        </w:tc>
        <w:tc>
          <w:tcPr>
            <w:tcW w:w="3346" w:type="dxa"/>
            <w:shd w:val="clear" w:color="auto" w:fill="auto"/>
            <w:vAlign w:val="center"/>
          </w:tcPr>
          <w:p w14:paraId="04DA9908">
            <w:pPr>
              <w:keepNext w:val="0"/>
              <w:keepLines w:val="0"/>
              <w:pageBreakBefore w:val="0"/>
              <w:widowControl w:val="0"/>
              <w:kinsoku/>
              <w:wordWrap/>
              <w:overflowPunct/>
              <w:topLinePunct w:val="0"/>
              <w:autoSpaceDE/>
              <w:autoSpaceDN/>
              <w:bidi w:val="0"/>
              <w:adjustRightInd/>
              <w:snapToGrid/>
              <w:ind w:left="21" w:leftChars="10" w:right="21" w:rightChars="10" w:firstLine="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从业人员要按时到岗、统一服装，</w:t>
            </w:r>
            <w:r>
              <w:rPr>
                <w:rFonts w:hint="eastAsia" w:ascii="宋体" w:hAnsi="宋体" w:eastAsia="宋体" w:cs="宋体"/>
                <w:sz w:val="24"/>
                <w:szCs w:val="24"/>
                <w:highlight w:val="none"/>
                <w:lang w:val="en-US" w:eastAsia="zh-CN"/>
              </w:rPr>
              <w:t>提供</w:t>
            </w:r>
            <w:r>
              <w:rPr>
                <w:rFonts w:hint="eastAsia" w:ascii="宋体" w:hAnsi="宋体" w:eastAsia="宋体" w:cs="宋体"/>
                <w:sz w:val="24"/>
                <w:szCs w:val="24"/>
                <w:highlight w:val="none"/>
              </w:rPr>
              <w:t>文明礼貌</w:t>
            </w:r>
            <w:r>
              <w:rPr>
                <w:rFonts w:hint="eastAsia" w:ascii="宋体" w:hAnsi="宋体" w:eastAsia="宋体" w:cs="宋体"/>
                <w:sz w:val="24"/>
                <w:szCs w:val="24"/>
                <w:highlight w:val="none"/>
                <w:lang w:val="en-US" w:eastAsia="zh-CN"/>
              </w:rPr>
              <w:t>服务</w:t>
            </w:r>
            <w:r>
              <w:rPr>
                <w:rFonts w:hint="eastAsia" w:ascii="宋体" w:hAnsi="宋体" w:eastAsia="宋体" w:cs="宋体"/>
                <w:sz w:val="24"/>
                <w:szCs w:val="24"/>
                <w:highlight w:val="none"/>
              </w:rPr>
              <w:t>。</w:t>
            </w:r>
          </w:p>
        </w:tc>
        <w:tc>
          <w:tcPr>
            <w:tcW w:w="2813" w:type="dxa"/>
            <w:shd w:val="clear" w:color="auto" w:fill="auto"/>
            <w:vAlign w:val="center"/>
          </w:tcPr>
          <w:p w14:paraId="511DE83A">
            <w:pPr>
              <w:keepNext w:val="0"/>
              <w:keepLines w:val="0"/>
              <w:pageBreakBefore w:val="0"/>
              <w:widowControl w:val="0"/>
              <w:kinsoku/>
              <w:wordWrap/>
              <w:overflowPunct/>
              <w:topLinePunct w:val="0"/>
              <w:autoSpaceDE/>
              <w:autoSpaceDN/>
              <w:bidi w:val="0"/>
              <w:adjustRightInd/>
              <w:snapToGrid/>
              <w:ind w:left="21" w:leftChars="10" w:right="21" w:rightChars="10" w:firstLine="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不符合要求的每项每人每次扣</w:t>
            </w:r>
          </w:p>
          <w:p w14:paraId="3E7FADE3">
            <w:pPr>
              <w:keepNext w:val="0"/>
              <w:keepLines w:val="0"/>
              <w:pageBreakBefore w:val="0"/>
              <w:widowControl w:val="0"/>
              <w:kinsoku/>
              <w:wordWrap/>
              <w:overflowPunct/>
              <w:topLinePunct w:val="0"/>
              <w:autoSpaceDE/>
              <w:autoSpaceDN/>
              <w:bidi w:val="0"/>
              <w:adjustRightInd/>
              <w:snapToGrid/>
              <w:ind w:left="21" w:leftChars="10" w:right="21" w:rightChars="10" w:firstLine="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1</w:t>
            </w:r>
            <w:r>
              <w:rPr>
                <w:rFonts w:hint="eastAsia" w:ascii="宋体" w:hAnsi="宋体" w:eastAsia="宋体" w:cs="宋体"/>
                <w:sz w:val="24"/>
                <w:szCs w:val="24"/>
                <w:highlight w:val="none"/>
              </w:rPr>
              <w:t>分。</w:t>
            </w:r>
          </w:p>
        </w:tc>
        <w:tc>
          <w:tcPr>
            <w:tcW w:w="1214" w:type="dxa"/>
            <w:vMerge w:val="restart"/>
            <w:shd w:val="clear" w:color="auto" w:fill="auto"/>
            <w:vAlign w:val="center"/>
          </w:tcPr>
          <w:p w14:paraId="0EFB4599">
            <w:pPr>
              <w:keepNext w:val="0"/>
              <w:keepLines w:val="0"/>
              <w:pageBreakBefore w:val="0"/>
              <w:widowControl w:val="0"/>
              <w:kinsoku/>
              <w:wordWrap/>
              <w:overflowPunct/>
              <w:topLinePunct w:val="0"/>
              <w:autoSpaceDE/>
              <w:autoSpaceDN/>
              <w:bidi w:val="0"/>
              <w:adjustRightInd/>
              <w:snapToGrid/>
              <w:ind w:left="21" w:leftChars="10" w:right="21" w:rightChars="10" w:firstLine="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招标人村两委干部及相关工作人员</w:t>
            </w:r>
          </w:p>
        </w:tc>
      </w:tr>
      <w:tr w14:paraId="7E07A2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 w:type="dxa"/>
            <w:bottom w:w="0" w:type="dxa"/>
            <w:right w:w="10" w:type="dxa"/>
          </w:tblCellMar>
        </w:tblPrEx>
        <w:trPr>
          <w:trHeight w:val="1219" w:hRule="exact"/>
        </w:trPr>
        <w:tc>
          <w:tcPr>
            <w:tcW w:w="643" w:type="dxa"/>
            <w:vMerge w:val="continue"/>
            <w:shd w:val="clear" w:color="auto" w:fill="auto"/>
            <w:vAlign w:val="center"/>
          </w:tcPr>
          <w:p w14:paraId="4E797F50">
            <w:pPr>
              <w:keepNext w:val="0"/>
              <w:keepLines w:val="0"/>
              <w:pageBreakBefore w:val="0"/>
              <w:widowControl w:val="0"/>
              <w:kinsoku/>
              <w:wordWrap/>
              <w:overflowPunct/>
              <w:topLinePunct w:val="0"/>
              <w:autoSpaceDE/>
              <w:autoSpaceDN/>
              <w:bidi w:val="0"/>
              <w:adjustRightInd/>
              <w:snapToGrid/>
              <w:ind w:left="21" w:leftChars="10" w:right="21" w:rightChars="10" w:firstLine="0"/>
              <w:textAlignment w:val="auto"/>
              <w:rPr>
                <w:rFonts w:hint="eastAsia" w:ascii="宋体" w:hAnsi="宋体" w:eastAsia="宋体" w:cs="宋体"/>
                <w:sz w:val="24"/>
                <w:szCs w:val="24"/>
                <w:highlight w:val="none"/>
              </w:rPr>
            </w:pPr>
          </w:p>
        </w:tc>
        <w:tc>
          <w:tcPr>
            <w:tcW w:w="1373" w:type="dxa"/>
            <w:vMerge w:val="continue"/>
            <w:shd w:val="clear" w:color="auto" w:fill="auto"/>
            <w:vAlign w:val="center"/>
          </w:tcPr>
          <w:p w14:paraId="3CB92421">
            <w:pPr>
              <w:keepNext w:val="0"/>
              <w:keepLines w:val="0"/>
              <w:pageBreakBefore w:val="0"/>
              <w:widowControl w:val="0"/>
              <w:kinsoku/>
              <w:wordWrap/>
              <w:overflowPunct/>
              <w:topLinePunct w:val="0"/>
              <w:autoSpaceDE/>
              <w:autoSpaceDN/>
              <w:bidi w:val="0"/>
              <w:adjustRightInd/>
              <w:snapToGrid/>
              <w:ind w:left="21" w:leftChars="10" w:right="21" w:rightChars="10" w:firstLine="0"/>
              <w:textAlignment w:val="auto"/>
              <w:rPr>
                <w:rFonts w:hint="eastAsia" w:ascii="宋体" w:hAnsi="宋体" w:eastAsia="宋体" w:cs="宋体"/>
                <w:sz w:val="24"/>
                <w:szCs w:val="24"/>
                <w:highlight w:val="none"/>
              </w:rPr>
            </w:pPr>
          </w:p>
        </w:tc>
        <w:tc>
          <w:tcPr>
            <w:tcW w:w="3346" w:type="dxa"/>
            <w:shd w:val="clear" w:color="auto" w:fill="auto"/>
            <w:vAlign w:val="center"/>
          </w:tcPr>
          <w:p w14:paraId="4A38929C">
            <w:pPr>
              <w:keepNext w:val="0"/>
              <w:keepLines w:val="0"/>
              <w:pageBreakBefore w:val="0"/>
              <w:widowControl w:val="0"/>
              <w:kinsoku/>
              <w:wordWrap/>
              <w:overflowPunct/>
              <w:topLinePunct w:val="0"/>
              <w:autoSpaceDE/>
              <w:autoSpaceDN/>
              <w:bidi w:val="0"/>
              <w:adjustRightInd/>
              <w:snapToGrid/>
              <w:ind w:left="21" w:leftChars="10" w:right="21" w:rightChars="10" w:firstLine="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从业人员熟练</w:t>
            </w:r>
            <w:r>
              <w:rPr>
                <w:rFonts w:hint="eastAsia" w:ascii="宋体" w:hAnsi="宋体" w:eastAsia="宋体" w:cs="宋体"/>
                <w:sz w:val="24"/>
                <w:szCs w:val="24"/>
                <w:highlight w:val="none"/>
                <w:lang w:val="en-US" w:eastAsia="zh-CN"/>
              </w:rPr>
              <w:t>掌握业务</w:t>
            </w:r>
            <w:r>
              <w:rPr>
                <w:rFonts w:hint="eastAsia" w:ascii="宋体" w:hAnsi="宋体" w:eastAsia="宋体" w:cs="宋体"/>
                <w:sz w:val="24"/>
                <w:szCs w:val="24"/>
                <w:highlight w:val="none"/>
              </w:rPr>
              <w:t>，</w:t>
            </w:r>
            <w:r>
              <w:rPr>
                <w:rFonts w:hint="eastAsia" w:ascii="宋体" w:hAnsi="宋体" w:eastAsia="宋体" w:cs="宋体"/>
                <w:sz w:val="24"/>
                <w:szCs w:val="24"/>
                <w:highlight w:val="none"/>
                <w:lang w:val="en-US" w:eastAsia="zh-CN"/>
              </w:rPr>
              <w:t>如村民群众对停车管理有疑问，</w:t>
            </w:r>
            <w:r>
              <w:rPr>
                <w:rFonts w:hint="eastAsia" w:ascii="宋体" w:hAnsi="宋体" w:eastAsia="宋体" w:cs="宋体"/>
                <w:sz w:val="24"/>
                <w:szCs w:val="24"/>
                <w:highlight w:val="none"/>
              </w:rPr>
              <w:t>能够耐心细致解答</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lang w:val="en-US" w:eastAsia="zh-CN"/>
              </w:rPr>
              <w:t>避免产生矛盾</w:t>
            </w:r>
            <w:r>
              <w:rPr>
                <w:rFonts w:hint="eastAsia" w:ascii="宋体" w:hAnsi="宋体" w:eastAsia="宋体" w:cs="宋体"/>
                <w:sz w:val="24"/>
                <w:szCs w:val="24"/>
                <w:highlight w:val="none"/>
              </w:rPr>
              <w:t>。</w:t>
            </w:r>
          </w:p>
        </w:tc>
        <w:tc>
          <w:tcPr>
            <w:tcW w:w="2813" w:type="dxa"/>
            <w:shd w:val="clear" w:color="auto" w:fill="auto"/>
            <w:vAlign w:val="center"/>
          </w:tcPr>
          <w:p w14:paraId="385C79CB">
            <w:pPr>
              <w:keepNext w:val="0"/>
              <w:keepLines w:val="0"/>
              <w:pageBreakBefore w:val="0"/>
              <w:widowControl w:val="0"/>
              <w:kinsoku/>
              <w:wordWrap/>
              <w:overflowPunct/>
              <w:topLinePunct w:val="0"/>
              <w:autoSpaceDE/>
              <w:autoSpaceDN/>
              <w:bidi w:val="0"/>
              <w:adjustRightInd/>
              <w:snapToGrid/>
              <w:ind w:left="21" w:leftChars="10" w:right="21" w:rightChars="10" w:firstLine="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不符合要求的每人每次扣1分。</w:t>
            </w:r>
          </w:p>
          <w:p w14:paraId="6E2CDFCA">
            <w:pPr>
              <w:keepNext w:val="0"/>
              <w:keepLines w:val="0"/>
              <w:pageBreakBefore w:val="0"/>
              <w:widowControl w:val="0"/>
              <w:kinsoku/>
              <w:wordWrap/>
              <w:overflowPunct/>
              <w:topLinePunct w:val="0"/>
              <w:autoSpaceDE/>
              <w:autoSpaceDN/>
              <w:bidi w:val="0"/>
              <w:adjustRightInd/>
              <w:snapToGrid/>
              <w:ind w:left="21" w:leftChars="10" w:right="21" w:rightChars="10" w:firstLine="0"/>
              <w:textAlignment w:val="auto"/>
              <w:rPr>
                <w:rFonts w:hint="eastAsia" w:ascii="宋体" w:hAnsi="宋体" w:eastAsia="宋体" w:cs="宋体"/>
                <w:sz w:val="24"/>
                <w:szCs w:val="24"/>
                <w:highlight w:val="none"/>
              </w:rPr>
            </w:pPr>
          </w:p>
        </w:tc>
        <w:tc>
          <w:tcPr>
            <w:tcW w:w="1214" w:type="dxa"/>
            <w:vMerge w:val="continue"/>
            <w:shd w:val="clear" w:color="auto" w:fill="auto"/>
            <w:vAlign w:val="center"/>
          </w:tcPr>
          <w:p w14:paraId="4A1D4EBA">
            <w:pPr>
              <w:keepNext w:val="0"/>
              <w:keepLines w:val="0"/>
              <w:pageBreakBefore w:val="0"/>
              <w:widowControl w:val="0"/>
              <w:kinsoku/>
              <w:wordWrap/>
              <w:overflowPunct/>
              <w:topLinePunct w:val="0"/>
              <w:autoSpaceDE/>
              <w:autoSpaceDN/>
              <w:bidi w:val="0"/>
              <w:adjustRightInd/>
              <w:snapToGrid/>
              <w:ind w:left="21" w:leftChars="10" w:right="21" w:rightChars="10" w:firstLine="0"/>
              <w:textAlignment w:val="auto"/>
              <w:rPr>
                <w:rFonts w:hint="eastAsia" w:ascii="宋体" w:hAnsi="宋体" w:eastAsia="宋体" w:cs="宋体"/>
                <w:sz w:val="24"/>
                <w:szCs w:val="24"/>
                <w:highlight w:val="none"/>
              </w:rPr>
            </w:pPr>
          </w:p>
        </w:tc>
      </w:tr>
      <w:tr w14:paraId="05800B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 w:type="dxa"/>
            <w:bottom w:w="0" w:type="dxa"/>
            <w:right w:w="10" w:type="dxa"/>
          </w:tblCellMar>
        </w:tblPrEx>
        <w:trPr>
          <w:trHeight w:val="643" w:hRule="exact"/>
        </w:trPr>
        <w:tc>
          <w:tcPr>
            <w:tcW w:w="643" w:type="dxa"/>
            <w:vMerge w:val="continue"/>
            <w:shd w:val="clear" w:color="auto" w:fill="auto"/>
            <w:vAlign w:val="center"/>
          </w:tcPr>
          <w:p w14:paraId="6081BFBB">
            <w:pPr>
              <w:keepNext w:val="0"/>
              <w:keepLines w:val="0"/>
              <w:pageBreakBefore w:val="0"/>
              <w:widowControl w:val="0"/>
              <w:kinsoku/>
              <w:wordWrap/>
              <w:overflowPunct/>
              <w:topLinePunct w:val="0"/>
              <w:autoSpaceDE/>
              <w:autoSpaceDN/>
              <w:bidi w:val="0"/>
              <w:adjustRightInd/>
              <w:snapToGrid/>
              <w:ind w:left="21" w:leftChars="10" w:right="21" w:rightChars="10" w:firstLine="0"/>
              <w:textAlignment w:val="auto"/>
              <w:rPr>
                <w:rFonts w:hint="eastAsia" w:ascii="宋体" w:hAnsi="宋体" w:eastAsia="宋体" w:cs="宋体"/>
                <w:sz w:val="24"/>
                <w:szCs w:val="24"/>
                <w:highlight w:val="none"/>
              </w:rPr>
            </w:pPr>
          </w:p>
        </w:tc>
        <w:tc>
          <w:tcPr>
            <w:tcW w:w="1373" w:type="dxa"/>
            <w:vMerge w:val="restart"/>
            <w:shd w:val="clear" w:color="auto" w:fill="auto"/>
            <w:vAlign w:val="center"/>
          </w:tcPr>
          <w:p w14:paraId="4CA1AC45">
            <w:pPr>
              <w:keepNext w:val="0"/>
              <w:keepLines w:val="0"/>
              <w:pageBreakBefore w:val="0"/>
              <w:widowControl w:val="0"/>
              <w:kinsoku/>
              <w:wordWrap/>
              <w:overflowPunct/>
              <w:topLinePunct w:val="0"/>
              <w:autoSpaceDE/>
              <w:autoSpaceDN/>
              <w:bidi w:val="0"/>
              <w:adjustRightInd/>
              <w:snapToGrid/>
              <w:ind w:left="21" w:leftChars="10" w:right="21" w:rightChars="10" w:firstLine="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设备管理</w:t>
            </w:r>
          </w:p>
        </w:tc>
        <w:tc>
          <w:tcPr>
            <w:tcW w:w="3346" w:type="dxa"/>
            <w:shd w:val="clear" w:color="auto" w:fill="auto"/>
            <w:vAlign w:val="bottom"/>
          </w:tcPr>
          <w:p w14:paraId="2F6492C1">
            <w:pPr>
              <w:keepNext w:val="0"/>
              <w:keepLines w:val="0"/>
              <w:pageBreakBefore w:val="0"/>
              <w:widowControl w:val="0"/>
              <w:kinsoku/>
              <w:wordWrap/>
              <w:overflowPunct/>
              <w:topLinePunct w:val="0"/>
              <w:autoSpaceDE/>
              <w:autoSpaceDN/>
              <w:bidi w:val="0"/>
              <w:adjustRightInd/>
              <w:snapToGrid/>
              <w:ind w:left="21" w:leftChars="10" w:right="21" w:rightChars="10" w:firstLine="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定期</w:t>
            </w:r>
            <w:r>
              <w:rPr>
                <w:rFonts w:hint="eastAsia" w:ascii="宋体" w:hAnsi="宋体" w:eastAsia="宋体" w:cs="宋体"/>
                <w:sz w:val="24"/>
                <w:szCs w:val="24"/>
                <w:highlight w:val="none"/>
              </w:rPr>
              <w:t>对设备运行情况进行检查</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lang w:val="en-US" w:eastAsia="zh-CN"/>
              </w:rPr>
              <w:t>若设备产生故障，必须在24小时内完成维修</w:t>
            </w:r>
            <w:r>
              <w:rPr>
                <w:rFonts w:hint="eastAsia" w:ascii="宋体" w:hAnsi="宋体" w:eastAsia="宋体" w:cs="宋体"/>
                <w:sz w:val="24"/>
                <w:szCs w:val="24"/>
                <w:highlight w:val="none"/>
              </w:rPr>
              <w:t>。</w:t>
            </w:r>
          </w:p>
        </w:tc>
        <w:tc>
          <w:tcPr>
            <w:tcW w:w="2813" w:type="dxa"/>
            <w:shd w:val="clear" w:color="auto" w:fill="auto"/>
            <w:vAlign w:val="center"/>
          </w:tcPr>
          <w:p w14:paraId="3019D2C7">
            <w:pPr>
              <w:keepNext w:val="0"/>
              <w:keepLines w:val="0"/>
              <w:pageBreakBefore w:val="0"/>
              <w:widowControl w:val="0"/>
              <w:kinsoku/>
              <w:wordWrap/>
              <w:overflowPunct/>
              <w:topLinePunct w:val="0"/>
              <w:autoSpaceDE/>
              <w:autoSpaceDN/>
              <w:bidi w:val="0"/>
              <w:adjustRightInd/>
              <w:snapToGrid/>
              <w:ind w:left="21" w:leftChars="10" w:right="21" w:rightChars="10" w:firstLine="0"/>
              <w:textAlignment w:val="auto"/>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rPr>
              <w:t>若</w:t>
            </w:r>
            <w:r>
              <w:rPr>
                <w:rFonts w:hint="eastAsia" w:ascii="宋体" w:hAnsi="宋体" w:eastAsia="宋体" w:cs="宋体"/>
                <w:sz w:val="24"/>
                <w:szCs w:val="24"/>
                <w:highlight w:val="none"/>
                <w:lang w:val="en-US" w:eastAsia="zh-CN"/>
              </w:rPr>
              <w:t>因设备问题造成拥堵或其他影响的</w:t>
            </w:r>
            <w:r>
              <w:rPr>
                <w:rFonts w:hint="eastAsia" w:ascii="宋体" w:hAnsi="宋体" w:eastAsia="宋体" w:cs="宋体"/>
                <w:sz w:val="24"/>
                <w:szCs w:val="24"/>
                <w:highlight w:val="none"/>
              </w:rPr>
              <w:t>，每次扣1分</w:t>
            </w:r>
            <w:r>
              <w:rPr>
                <w:rFonts w:hint="eastAsia" w:ascii="宋体" w:hAnsi="宋体" w:cs="宋体"/>
                <w:sz w:val="24"/>
                <w:szCs w:val="24"/>
                <w:highlight w:val="none"/>
                <w:lang w:eastAsia="zh-CN"/>
              </w:rPr>
              <w:t>。</w:t>
            </w:r>
          </w:p>
        </w:tc>
        <w:tc>
          <w:tcPr>
            <w:tcW w:w="1214" w:type="dxa"/>
            <w:vMerge w:val="continue"/>
            <w:shd w:val="clear" w:color="auto" w:fill="auto"/>
            <w:vAlign w:val="center"/>
          </w:tcPr>
          <w:p w14:paraId="5978E57F">
            <w:pPr>
              <w:keepNext w:val="0"/>
              <w:keepLines w:val="0"/>
              <w:pageBreakBefore w:val="0"/>
              <w:widowControl w:val="0"/>
              <w:kinsoku/>
              <w:wordWrap/>
              <w:overflowPunct/>
              <w:topLinePunct w:val="0"/>
              <w:autoSpaceDE/>
              <w:autoSpaceDN/>
              <w:bidi w:val="0"/>
              <w:adjustRightInd/>
              <w:snapToGrid/>
              <w:ind w:left="21" w:leftChars="10" w:right="21" w:rightChars="10" w:firstLine="0"/>
              <w:textAlignment w:val="auto"/>
              <w:rPr>
                <w:rFonts w:hint="eastAsia" w:ascii="宋体" w:hAnsi="宋体" w:eastAsia="宋体" w:cs="宋体"/>
                <w:sz w:val="24"/>
                <w:szCs w:val="24"/>
                <w:highlight w:val="none"/>
              </w:rPr>
            </w:pPr>
          </w:p>
        </w:tc>
      </w:tr>
      <w:tr w14:paraId="4BBA04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 w:type="dxa"/>
            <w:bottom w:w="0" w:type="dxa"/>
            <w:right w:w="10" w:type="dxa"/>
          </w:tblCellMar>
        </w:tblPrEx>
        <w:trPr>
          <w:trHeight w:val="571" w:hRule="exact"/>
        </w:trPr>
        <w:tc>
          <w:tcPr>
            <w:tcW w:w="643" w:type="dxa"/>
            <w:vMerge w:val="continue"/>
            <w:shd w:val="clear" w:color="auto" w:fill="auto"/>
            <w:vAlign w:val="center"/>
          </w:tcPr>
          <w:p w14:paraId="531A63A5">
            <w:pPr>
              <w:keepNext w:val="0"/>
              <w:keepLines w:val="0"/>
              <w:pageBreakBefore w:val="0"/>
              <w:widowControl w:val="0"/>
              <w:kinsoku/>
              <w:wordWrap/>
              <w:overflowPunct/>
              <w:topLinePunct w:val="0"/>
              <w:autoSpaceDE/>
              <w:autoSpaceDN/>
              <w:bidi w:val="0"/>
              <w:adjustRightInd/>
              <w:snapToGrid/>
              <w:ind w:left="21" w:leftChars="10" w:right="21" w:rightChars="10" w:firstLine="0"/>
              <w:textAlignment w:val="auto"/>
              <w:rPr>
                <w:rFonts w:hint="eastAsia" w:ascii="宋体" w:hAnsi="宋体" w:eastAsia="宋体" w:cs="宋体"/>
                <w:sz w:val="24"/>
                <w:szCs w:val="24"/>
                <w:highlight w:val="none"/>
              </w:rPr>
            </w:pPr>
          </w:p>
        </w:tc>
        <w:tc>
          <w:tcPr>
            <w:tcW w:w="1373" w:type="dxa"/>
            <w:vMerge w:val="continue"/>
            <w:shd w:val="clear" w:color="auto" w:fill="auto"/>
            <w:vAlign w:val="center"/>
          </w:tcPr>
          <w:p w14:paraId="7AF1DE94">
            <w:pPr>
              <w:keepNext w:val="0"/>
              <w:keepLines w:val="0"/>
              <w:pageBreakBefore w:val="0"/>
              <w:widowControl w:val="0"/>
              <w:kinsoku/>
              <w:wordWrap/>
              <w:overflowPunct/>
              <w:topLinePunct w:val="0"/>
              <w:autoSpaceDE/>
              <w:autoSpaceDN/>
              <w:bidi w:val="0"/>
              <w:adjustRightInd/>
              <w:snapToGrid/>
              <w:ind w:left="21" w:leftChars="10" w:right="21" w:rightChars="10" w:firstLine="0"/>
              <w:textAlignment w:val="auto"/>
              <w:rPr>
                <w:rFonts w:hint="eastAsia" w:ascii="宋体" w:hAnsi="宋体" w:eastAsia="宋体" w:cs="宋体"/>
                <w:sz w:val="24"/>
                <w:szCs w:val="24"/>
                <w:highlight w:val="none"/>
              </w:rPr>
            </w:pPr>
          </w:p>
        </w:tc>
        <w:tc>
          <w:tcPr>
            <w:tcW w:w="3346" w:type="dxa"/>
            <w:shd w:val="clear" w:color="auto" w:fill="auto"/>
            <w:vAlign w:val="center"/>
          </w:tcPr>
          <w:p w14:paraId="7CC43C92">
            <w:pPr>
              <w:keepNext w:val="0"/>
              <w:keepLines w:val="0"/>
              <w:pageBreakBefore w:val="0"/>
              <w:widowControl w:val="0"/>
              <w:kinsoku/>
              <w:wordWrap/>
              <w:overflowPunct/>
              <w:topLinePunct w:val="0"/>
              <w:autoSpaceDE/>
              <w:autoSpaceDN/>
              <w:bidi w:val="0"/>
              <w:adjustRightInd/>
              <w:snapToGrid/>
              <w:ind w:left="21" w:leftChars="10" w:right="21" w:rightChars="10" w:firstLine="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交通</w:t>
            </w:r>
            <w:r>
              <w:rPr>
                <w:rFonts w:hint="eastAsia" w:ascii="宋体" w:hAnsi="宋体" w:eastAsia="宋体" w:cs="宋体"/>
                <w:sz w:val="24"/>
                <w:szCs w:val="24"/>
                <w:highlight w:val="none"/>
                <w:lang w:val="en-US" w:eastAsia="zh-CN"/>
              </w:rPr>
              <w:t>及停车场</w:t>
            </w:r>
            <w:r>
              <w:rPr>
                <w:rFonts w:hint="eastAsia" w:ascii="宋体" w:hAnsi="宋体" w:eastAsia="宋体" w:cs="宋体"/>
                <w:sz w:val="24"/>
                <w:szCs w:val="24"/>
                <w:highlight w:val="none"/>
              </w:rPr>
              <w:t>设施标识完好。</w:t>
            </w:r>
          </w:p>
        </w:tc>
        <w:tc>
          <w:tcPr>
            <w:tcW w:w="2813" w:type="dxa"/>
            <w:shd w:val="clear" w:color="auto" w:fill="auto"/>
            <w:vAlign w:val="center"/>
          </w:tcPr>
          <w:p w14:paraId="3AA37200">
            <w:pPr>
              <w:keepNext w:val="0"/>
              <w:keepLines w:val="0"/>
              <w:pageBreakBefore w:val="0"/>
              <w:widowControl w:val="0"/>
              <w:kinsoku/>
              <w:wordWrap/>
              <w:overflowPunct/>
              <w:topLinePunct w:val="0"/>
              <w:autoSpaceDE/>
              <w:autoSpaceDN/>
              <w:bidi w:val="0"/>
              <w:adjustRightInd/>
              <w:snapToGrid/>
              <w:ind w:left="21" w:leftChars="10" w:right="21" w:rightChars="10" w:firstLine="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缺失一处</w:t>
            </w:r>
            <w:r>
              <w:rPr>
                <w:rFonts w:hint="eastAsia" w:ascii="宋体" w:hAnsi="宋体" w:eastAsia="宋体" w:cs="宋体"/>
                <w:sz w:val="24"/>
                <w:szCs w:val="24"/>
                <w:highlight w:val="none"/>
              </w:rPr>
              <w:t>扣</w:t>
            </w:r>
            <w:r>
              <w:rPr>
                <w:rFonts w:hint="eastAsia" w:ascii="宋体" w:hAnsi="宋体" w:eastAsia="宋体" w:cs="宋体"/>
                <w:sz w:val="24"/>
                <w:szCs w:val="24"/>
                <w:highlight w:val="none"/>
                <w:lang w:val="en-US" w:eastAsia="en-US"/>
              </w:rPr>
              <w:t>0.5</w:t>
            </w:r>
            <w:r>
              <w:rPr>
                <w:rFonts w:hint="eastAsia" w:ascii="宋体" w:hAnsi="宋体" w:eastAsia="宋体" w:cs="宋体"/>
                <w:sz w:val="24"/>
                <w:szCs w:val="24"/>
                <w:highlight w:val="none"/>
              </w:rPr>
              <w:t>分。</w:t>
            </w:r>
          </w:p>
        </w:tc>
        <w:tc>
          <w:tcPr>
            <w:tcW w:w="1214" w:type="dxa"/>
            <w:vMerge w:val="continue"/>
            <w:shd w:val="clear" w:color="auto" w:fill="auto"/>
            <w:vAlign w:val="center"/>
          </w:tcPr>
          <w:p w14:paraId="736C86AC">
            <w:pPr>
              <w:keepNext w:val="0"/>
              <w:keepLines w:val="0"/>
              <w:pageBreakBefore w:val="0"/>
              <w:widowControl w:val="0"/>
              <w:kinsoku/>
              <w:wordWrap/>
              <w:overflowPunct/>
              <w:topLinePunct w:val="0"/>
              <w:autoSpaceDE/>
              <w:autoSpaceDN/>
              <w:bidi w:val="0"/>
              <w:adjustRightInd/>
              <w:snapToGrid/>
              <w:ind w:left="21" w:leftChars="10" w:right="21" w:rightChars="10" w:firstLine="0"/>
              <w:textAlignment w:val="auto"/>
              <w:rPr>
                <w:rFonts w:hint="eastAsia" w:ascii="宋体" w:hAnsi="宋体" w:eastAsia="宋体" w:cs="宋体"/>
                <w:sz w:val="24"/>
                <w:szCs w:val="24"/>
                <w:highlight w:val="none"/>
              </w:rPr>
            </w:pPr>
          </w:p>
        </w:tc>
      </w:tr>
      <w:tr w14:paraId="1E13E3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950" w:hRule="exact"/>
        </w:trPr>
        <w:tc>
          <w:tcPr>
            <w:tcW w:w="643" w:type="dxa"/>
            <w:vMerge w:val="continue"/>
            <w:shd w:val="clear" w:color="auto" w:fill="auto"/>
            <w:vAlign w:val="center"/>
          </w:tcPr>
          <w:p w14:paraId="0BAAC1D5">
            <w:pPr>
              <w:keepNext w:val="0"/>
              <w:keepLines w:val="0"/>
              <w:pageBreakBefore w:val="0"/>
              <w:widowControl w:val="0"/>
              <w:kinsoku/>
              <w:wordWrap/>
              <w:overflowPunct/>
              <w:topLinePunct w:val="0"/>
              <w:autoSpaceDE/>
              <w:autoSpaceDN/>
              <w:bidi w:val="0"/>
              <w:adjustRightInd/>
              <w:snapToGrid/>
              <w:ind w:left="21" w:leftChars="10" w:right="21" w:rightChars="10" w:firstLine="0"/>
              <w:textAlignment w:val="auto"/>
              <w:rPr>
                <w:rFonts w:hint="eastAsia" w:ascii="宋体" w:hAnsi="宋体" w:eastAsia="宋体" w:cs="宋体"/>
                <w:sz w:val="24"/>
                <w:szCs w:val="24"/>
                <w:highlight w:val="none"/>
              </w:rPr>
            </w:pPr>
          </w:p>
        </w:tc>
        <w:tc>
          <w:tcPr>
            <w:tcW w:w="1373" w:type="dxa"/>
            <w:vMerge w:val="restart"/>
            <w:shd w:val="clear" w:color="auto" w:fill="auto"/>
            <w:vAlign w:val="center"/>
          </w:tcPr>
          <w:p w14:paraId="69430120">
            <w:pPr>
              <w:keepNext w:val="0"/>
              <w:keepLines w:val="0"/>
              <w:pageBreakBefore w:val="0"/>
              <w:widowControl w:val="0"/>
              <w:kinsoku/>
              <w:wordWrap/>
              <w:overflowPunct/>
              <w:topLinePunct w:val="0"/>
              <w:autoSpaceDE/>
              <w:autoSpaceDN/>
              <w:bidi w:val="0"/>
              <w:adjustRightInd/>
              <w:snapToGrid/>
              <w:ind w:left="21" w:leftChars="10" w:right="21" w:rightChars="10" w:firstLine="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案作规程</w:t>
            </w:r>
          </w:p>
        </w:tc>
        <w:tc>
          <w:tcPr>
            <w:tcW w:w="3346" w:type="dxa"/>
            <w:shd w:val="clear" w:color="auto" w:fill="auto"/>
            <w:vAlign w:val="center"/>
          </w:tcPr>
          <w:p w14:paraId="76A8682B">
            <w:pPr>
              <w:keepNext w:val="0"/>
              <w:keepLines w:val="0"/>
              <w:pageBreakBefore w:val="0"/>
              <w:widowControl w:val="0"/>
              <w:kinsoku/>
              <w:wordWrap/>
              <w:overflowPunct/>
              <w:topLinePunct w:val="0"/>
              <w:autoSpaceDE/>
              <w:autoSpaceDN/>
              <w:bidi w:val="0"/>
              <w:adjustRightInd/>
              <w:snapToGrid/>
              <w:ind w:left="21" w:leftChars="10" w:right="21" w:rightChars="10" w:firstLine="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在车辆管理中不得扣押车辆停放者证件</w:t>
            </w:r>
            <w:r>
              <w:rPr>
                <w:rFonts w:hint="eastAsia" w:ascii="宋体" w:hAnsi="宋体" w:eastAsia="宋体" w:cs="宋体"/>
                <w:sz w:val="24"/>
                <w:szCs w:val="24"/>
                <w:highlight w:val="none"/>
                <w:lang w:val="en-US" w:eastAsia="zh-CN"/>
              </w:rPr>
              <w:t>或</w:t>
            </w:r>
            <w:r>
              <w:rPr>
                <w:rFonts w:hint="eastAsia" w:ascii="宋体" w:hAnsi="宋体" w:eastAsia="宋体" w:cs="宋体"/>
                <w:sz w:val="24"/>
                <w:szCs w:val="24"/>
                <w:highlight w:val="none"/>
              </w:rPr>
              <w:t>财物</w:t>
            </w:r>
            <w:r>
              <w:rPr>
                <w:rFonts w:hint="eastAsia" w:ascii="宋体" w:hAnsi="宋体" w:eastAsia="宋体" w:cs="宋体"/>
                <w:sz w:val="24"/>
                <w:szCs w:val="24"/>
                <w:highlight w:val="none"/>
                <w:lang w:val="en-US" w:eastAsia="zh-CN"/>
              </w:rPr>
              <w:t>等私人物品</w:t>
            </w:r>
            <w:r>
              <w:rPr>
                <w:rFonts w:hint="eastAsia" w:ascii="宋体" w:hAnsi="宋体" w:eastAsia="宋体" w:cs="宋体"/>
                <w:sz w:val="24"/>
                <w:szCs w:val="24"/>
                <w:highlight w:val="none"/>
              </w:rPr>
              <w:t>。</w:t>
            </w:r>
          </w:p>
        </w:tc>
        <w:tc>
          <w:tcPr>
            <w:tcW w:w="2813" w:type="dxa"/>
            <w:shd w:val="clear" w:color="auto" w:fill="auto"/>
            <w:vAlign w:val="center"/>
          </w:tcPr>
          <w:p w14:paraId="6381399D">
            <w:pPr>
              <w:keepNext w:val="0"/>
              <w:keepLines w:val="0"/>
              <w:pageBreakBefore w:val="0"/>
              <w:widowControl w:val="0"/>
              <w:kinsoku/>
              <w:wordWrap/>
              <w:overflowPunct/>
              <w:topLinePunct w:val="0"/>
              <w:autoSpaceDE/>
              <w:autoSpaceDN/>
              <w:bidi w:val="0"/>
              <w:adjustRightInd/>
              <w:snapToGrid/>
              <w:ind w:left="21" w:leftChars="10" w:right="21" w:rightChars="10" w:firstLine="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发生</w:t>
            </w:r>
            <w:r>
              <w:rPr>
                <w:rFonts w:hint="eastAsia" w:ascii="宋体" w:hAnsi="宋体" w:eastAsia="宋体" w:cs="宋体"/>
                <w:sz w:val="24"/>
                <w:szCs w:val="24"/>
                <w:highlight w:val="none"/>
              </w:rPr>
              <w:t>一次扣2分。</w:t>
            </w:r>
          </w:p>
        </w:tc>
        <w:tc>
          <w:tcPr>
            <w:tcW w:w="1214" w:type="dxa"/>
            <w:vMerge w:val="continue"/>
            <w:shd w:val="clear" w:color="auto" w:fill="auto"/>
            <w:vAlign w:val="center"/>
          </w:tcPr>
          <w:p w14:paraId="40615F86">
            <w:pPr>
              <w:keepNext w:val="0"/>
              <w:keepLines w:val="0"/>
              <w:pageBreakBefore w:val="0"/>
              <w:widowControl w:val="0"/>
              <w:kinsoku/>
              <w:wordWrap/>
              <w:overflowPunct/>
              <w:topLinePunct w:val="0"/>
              <w:autoSpaceDE/>
              <w:autoSpaceDN/>
              <w:bidi w:val="0"/>
              <w:adjustRightInd/>
              <w:snapToGrid/>
              <w:ind w:left="21" w:leftChars="10" w:right="21" w:rightChars="10" w:firstLine="0"/>
              <w:textAlignment w:val="auto"/>
              <w:rPr>
                <w:rFonts w:hint="eastAsia" w:ascii="宋体" w:hAnsi="宋体" w:eastAsia="宋体" w:cs="宋体"/>
                <w:sz w:val="24"/>
                <w:szCs w:val="24"/>
                <w:highlight w:val="none"/>
              </w:rPr>
            </w:pPr>
          </w:p>
        </w:tc>
      </w:tr>
      <w:tr w14:paraId="3DF470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 w:type="dxa"/>
            <w:bottom w:w="0" w:type="dxa"/>
            <w:right w:w="10" w:type="dxa"/>
          </w:tblCellMar>
        </w:tblPrEx>
        <w:trPr>
          <w:trHeight w:val="653" w:hRule="exact"/>
        </w:trPr>
        <w:tc>
          <w:tcPr>
            <w:tcW w:w="643" w:type="dxa"/>
            <w:vMerge w:val="continue"/>
            <w:shd w:val="clear" w:color="auto" w:fill="auto"/>
            <w:vAlign w:val="center"/>
          </w:tcPr>
          <w:p w14:paraId="43F45A9C">
            <w:pPr>
              <w:keepNext w:val="0"/>
              <w:keepLines w:val="0"/>
              <w:pageBreakBefore w:val="0"/>
              <w:widowControl w:val="0"/>
              <w:kinsoku/>
              <w:wordWrap/>
              <w:overflowPunct/>
              <w:topLinePunct w:val="0"/>
              <w:autoSpaceDE/>
              <w:autoSpaceDN/>
              <w:bidi w:val="0"/>
              <w:adjustRightInd/>
              <w:snapToGrid/>
              <w:ind w:left="21" w:leftChars="10" w:right="21" w:rightChars="10" w:firstLine="0"/>
              <w:textAlignment w:val="auto"/>
              <w:rPr>
                <w:rFonts w:hint="eastAsia" w:ascii="宋体" w:hAnsi="宋体" w:eastAsia="宋体" w:cs="宋体"/>
                <w:sz w:val="24"/>
                <w:szCs w:val="24"/>
                <w:highlight w:val="none"/>
              </w:rPr>
            </w:pPr>
          </w:p>
        </w:tc>
        <w:tc>
          <w:tcPr>
            <w:tcW w:w="1373" w:type="dxa"/>
            <w:vMerge w:val="continue"/>
            <w:shd w:val="clear" w:color="auto" w:fill="auto"/>
            <w:vAlign w:val="center"/>
          </w:tcPr>
          <w:p w14:paraId="4E023A7B">
            <w:pPr>
              <w:keepNext w:val="0"/>
              <w:keepLines w:val="0"/>
              <w:pageBreakBefore w:val="0"/>
              <w:widowControl w:val="0"/>
              <w:kinsoku/>
              <w:wordWrap/>
              <w:overflowPunct/>
              <w:topLinePunct w:val="0"/>
              <w:autoSpaceDE/>
              <w:autoSpaceDN/>
              <w:bidi w:val="0"/>
              <w:adjustRightInd/>
              <w:snapToGrid/>
              <w:ind w:left="21" w:leftChars="10" w:right="21" w:rightChars="10" w:firstLine="0"/>
              <w:textAlignment w:val="auto"/>
              <w:rPr>
                <w:rFonts w:hint="eastAsia" w:ascii="宋体" w:hAnsi="宋体" w:eastAsia="宋体" w:cs="宋体"/>
                <w:sz w:val="24"/>
                <w:szCs w:val="24"/>
                <w:highlight w:val="none"/>
              </w:rPr>
            </w:pPr>
          </w:p>
        </w:tc>
        <w:tc>
          <w:tcPr>
            <w:tcW w:w="3346" w:type="dxa"/>
            <w:shd w:val="clear" w:color="auto" w:fill="auto"/>
            <w:vAlign w:val="bottom"/>
          </w:tcPr>
          <w:p w14:paraId="41EBF6C4">
            <w:pPr>
              <w:keepNext w:val="0"/>
              <w:keepLines w:val="0"/>
              <w:pageBreakBefore w:val="0"/>
              <w:widowControl w:val="0"/>
              <w:kinsoku/>
              <w:wordWrap/>
              <w:overflowPunct/>
              <w:topLinePunct w:val="0"/>
              <w:autoSpaceDE/>
              <w:autoSpaceDN/>
              <w:bidi w:val="0"/>
              <w:adjustRightInd/>
              <w:snapToGrid/>
              <w:ind w:left="21" w:leftChars="10" w:right="21" w:rightChars="10" w:firstLine="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按与招标人约定收费标准对停放车辆进行收费及开具有效发票。</w:t>
            </w:r>
          </w:p>
        </w:tc>
        <w:tc>
          <w:tcPr>
            <w:tcW w:w="2813" w:type="dxa"/>
            <w:shd w:val="clear" w:color="auto" w:fill="auto"/>
            <w:vAlign w:val="center"/>
          </w:tcPr>
          <w:p w14:paraId="3185E2B7">
            <w:pPr>
              <w:keepNext w:val="0"/>
              <w:keepLines w:val="0"/>
              <w:pageBreakBefore w:val="0"/>
              <w:widowControl w:val="0"/>
              <w:kinsoku/>
              <w:wordWrap/>
              <w:overflowPunct/>
              <w:topLinePunct w:val="0"/>
              <w:autoSpaceDE/>
              <w:autoSpaceDN/>
              <w:bidi w:val="0"/>
              <w:adjustRightInd/>
              <w:snapToGrid/>
              <w:ind w:left="21" w:leftChars="10" w:right="21" w:rightChars="10" w:firstLine="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违反</w:t>
            </w:r>
            <w:r>
              <w:rPr>
                <w:rFonts w:hint="eastAsia" w:ascii="宋体" w:hAnsi="宋体" w:eastAsia="宋体" w:cs="宋体"/>
                <w:sz w:val="24"/>
                <w:szCs w:val="24"/>
                <w:highlight w:val="none"/>
              </w:rPr>
              <w:t>一次扣2分。</w:t>
            </w:r>
          </w:p>
        </w:tc>
        <w:tc>
          <w:tcPr>
            <w:tcW w:w="1214" w:type="dxa"/>
            <w:vMerge w:val="continue"/>
            <w:shd w:val="clear" w:color="auto" w:fill="auto"/>
            <w:vAlign w:val="center"/>
          </w:tcPr>
          <w:p w14:paraId="2845857B">
            <w:pPr>
              <w:keepNext w:val="0"/>
              <w:keepLines w:val="0"/>
              <w:pageBreakBefore w:val="0"/>
              <w:widowControl w:val="0"/>
              <w:kinsoku/>
              <w:wordWrap/>
              <w:overflowPunct/>
              <w:topLinePunct w:val="0"/>
              <w:autoSpaceDE/>
              <w:autoSpaceDN/>
              <w:bidi w:val="0"/>
              <w:adjustRightInd/>
              <w:snapToGrid/>
              <w:ind w:left="21" w:leftChars="10" w:right="21" w:rightChars="10" w:firstLine="0"/>
              <w:textAlignment w:val="auto"/>
              <w:rPr>
                <w:rFonts w:hint="eastAsia" w:ascii="宋体" w:hAnsi="宋体" w:eastAsia="宋体" w:cs="宋体"/>
                <w:sz w:val="24"/>
                <w:szCs w:val="24"/>
                <w:highlight w:val="none"/>
              </w:rPr>
            </w:pPr>
          </w:p>
        </w:tc>
      </w:tr>
      <w:tr w14:paraId="612EE7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 w:type="dxa"/>
            <w:bottom w:w="0" w:type="dxa"/>
            <w:right w:w="10" w:type="dxa"/>
          </w:tblCellMar>
        </w:tblPrEx>
        <w:trPr>
          <w:trHeight w:val="1667" w:hRule="exact"/>
        </w:trPr>
        <w:tc>
          <w:tcPr>
            <w:tcW w:w="643" w:type="dxa"/>
            <w:vMerge w:val="continue"/>
            <w:shd w:val="clear" w:color="auto" w:fill="auto"/>
            <w:vAlign w:val="center"/>
          </w:tcPr>
          <w:p w14:paraId="42DB5BC0">
            <w:pPr>
              <w:keepNext w:val="0"/>
              <w:keepLines w:val="0"/>
              <w:pageBreakBefore w:val="0"/>
              <w:widowControl w:val="0"/>
              <w:kinsoku/>
              <w:wordWrap/>
              <w:overflowPunct/>
              <w:topLinePunct w:val="0"/>
              <w:autoSpaceDE/>
              <w:autoSpaceDN/>
              <w:bidi w:val="0"/>
              <w:adjustRightInd/>
              <w:snapToGrid/>
              <w:ind w:left="21" w:leftChars="10" w:right="21" w:rightChars="10" w:firstLine="0"/>
              <w:textAlignment w:val="auto"/>
              <w:rPr>
                <w:rFonts w:hint="eastAsia" w:ascii="宋体" w:hAnsi="宋体" w:eastAsia="宋体" w:cs="宋体"/>
                <w:sz w:val="24"/>
                <w:szCs w:val="24"/>
                <w:highlight w:val="none"/>
              </w:rPr>
            </w:pPr>
          </w:p>
        </w:tc>
        <w:tc>
          <w:tcPr>
            <w:tcW w:w="1373" w:type="dxa"/>
            <w:vMerge w:val="continue"/>
            <w:shd w:val="clear" w:color="auto" w:fill="auto"/>
            <w:vAlign w:val="center"/>
          </w:tcPr>
          <w:p w14:paraId="06E74BEB">
            <w:pPr>
              <w:keepNext w:val="0"/>
              <w:keepLines w:val="0"/>
              <w:pageBreakBefore w:val="0"/>
              <w:widowControl w:val="0"/>
              <w:kinsoku/>
              <w:wordWrap/>
              <w:overflowPunct/>
              <w:topLinePunct w:val="0"/>
              <w:autoSpaceDE/>
              <w:autoSpaceDN/>
              <w:bidi w:val="0"/>
              <w:adjustRightInd/>
              <w:snapToGrid/>
              <w:ind w:left="21" w:leftChars="10" w:right="21" w:rightChars="10" w:firstLine="0"/>
              <w:textAlignment w:val="auto"/>
              <w:rPr>
                <w:rFonts w:hint="eastAsia" w:ascii="宋体" w:hAnsi="宋体" w:eastAsia="宋体" w:cs="宋体"/>
                <w:sz w:val="24"/>
                <w:szCs w:val="24"/>
                <w:highlight w:val="none"/>
              </w:rPr>
            </w:pPr>
          </w:p>
        </w:tc>
        <w:tc>
          <w:tcPr>
            <w:tcW w:w="3346" w:type="dxa"/>
            <w:shd w:val="clear" w:color="auto" w:fill="auto"/>
            <w:vAlign w:val="center"/>
          </w:tcPr>
          <w:p w14:paraId="5E901ACF">
            <w:pPr>
              <w:keepNext w:val="0"/>
              <w:keepLines w:val="0"/>
              <w:pageBreakBefore w:val="0"/>
              <w:widowControl w:val="0"/>
              <w:kinsoku/>
              <w:wordWrap/>
              <w:overflowPunct/>
              <w:topLinePunct w:val="0"/>
              <w:autoSpaceDE/>
              <w:autoSpaceDN/>
              <w:bidi w:val="0"/>
              <w:adjustRightInd/>
              <w:snapToGrid/>
              <w:ind w:left="21" w:leftChars="10" w:right="21" w:rightChars="10" w:firstLine="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rPr>
              <w:t>在停车场</w:t>
            </w:r>
            <w:r>
              <w:rPr>
                <w:rFonts w:hint="eastAsia" w:ascii="宋体" w:hAnsi="宋体" w:eastAsia="宋体" w:cs="宋体"/>
                <w:sz w:val="24"/>
                <w:szCs w:val="24"/>
                <w:highlight w:val="none"/>
                <w:lang w:val="en-US" w:eastAsia="zh-CN"/>
              </w:rPr>
              <w:t>内</w:t>
            </w:r>
            <w:r>
              <w:rPr>
                <w:rFonts w:hint="eastAsia" w:ascii="宋体" w:hAnsi="宋体" w:eastAsia="宋体" w:cs="宋体"/>
                <w:sz w:val="24"/>
                <w:szCs w:val="24"/>
                <w:highlight w:val="none"/>
              </w:rPr>
              <w:t>发生汽车车损</w:t>
            </w:r>
            <w:r>
              <w:rPr>
                <w:rFonts w:hint="eastAsia" w:ascii="宋体" w:hAnsi="宋体" w:eastAsia="宋体" w:cs="宋体"/>
                <w:sz w:val="24"/>
                <w:szCs w:val="24"/>
                <w:highlight w:val="none"/>
                <w:lang w:val="en-US" w:eastAsia="zh-CN"/>
              </w:rPr>
              <w:t>等</w:t>
            </w:r>
            <w:r>
              <w:rPr>
                <w:rFonts w:hint="eastAsia" w:ascii="宋体" w:hAnsi="宋体" w:eastAsia="宋体" w:cs="宋体"/>
                <w:sz w:val="24"/>
                <w:szCs w:val="24"/>
                <w:highlight w:val="none"/>
              </w:rPr>
              <w:t>事故</w:t>
            </w:r>
            <w:r>
              <w:rPr>
                <w:rFonts w:hint="eastAsia" w:ascii="宋体" w:hAnsi="宋体" w:eastAsia="宋体" w:cs="宋体"/>
                <w:sz w:val="24"/>
                <w:szCs w:val="24"/>
                <w:highlight w:val="none"/>
                <w:lang w:val="en-US" w:eastAsia="zh-CN"/>
              </w:rPr>
              <w:t>等</w:t>
            </w:r>
          </w:p>
          <w:p w14:paraId="16D71F3D">
            <w:pPr>
              <w:keepNext w:val="0"/>
              <w:keepLines w:val="0"/>
              <w:pageBreakBefore w:val="0"/>
              <w:widowControl w:val="0"/>
              <w:kinsoku/>
              <w:wordWrap/>
              <w:overflowPunct/>
              <w:topLinePunct w:val="0"/>
              <w:autoSpaceDE/>
              <w:autoSpaceDN/>
              <w:bidi w:val="0"/>
              <w:adjustRightInd/>
              <w:snapToGrid/>
              <w:ind w:left="21" w:leftChars="10" w:right="21" w:rightChars="10" w:firstLine="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时</w:t>
            </w:r>
            <w:r>
              <w:rPr>
                <w:rFonts w:hint="eastAsia" w:ascii="宋体" w:hAnsi="宋体" w:eastAsia="宋体" w:cs="宋体"/>
                <w:sz w:val="24"/>
                <w:szCs w:val="24"/>
                <w:highlight w:val="none"/>
              </w:rPr>
              <w:t>，</w:t>
            </w:r>
            <w:r>
              <w:rPr>
                <w:rFonts w:hint="eastAsia" w:ascii="宋体" w:hAnsi="宋体" w:eastAsia="宋体" w:cs="宋体"/>
                <w:sz w:val="24"/>
                <w:szCs w:val="24"/>
                <w:highlight w:val="none"/>
                <w:lang w:val="en-US" w:eastAsia="zh-CN"/>
              </w:rPr>
              <w:t>需主动</w:t>
            </w:r>
            <w:r>
              <w:rPr>
                <w:rFonts w:hint="eastAsia" w:ascii="宋体" w:hAnsi="宋体" w:eastAsia="宋体" w:cs="宋体"/>
                <w:sz w:val="24"/>
                <w:szCs w:val="24"/>
                <w:highlight w:val="none"/>
              </w:rPr>
              <w:t>报警处</w:t>
            </w:r>
            <w:r>
              <w:rPr>
                <w:rFonts w:hint="eastAsia" w:ascii="宋体" w:hAnsi="宋体" w:eastAsia="宋体" w:cs="宋体"/>
                <w:sz w:val="24"/>
                <w:szCs w:val="24"/>
                <w:highlight w:val="none"/>
                <w:lang w:val="en-US" w:eastAsia="zh-CN"/>
              </w:rPr>
              <w:t>理</w:t>
            </w:r>
            <w:r>
              <w:rPr>
                <w:rFonts w:hint="eastAsia" w:ascii="宋体" w:hAnsi="宋体" w:eastAsia="宋体" w:cs="宋体"/>
                <w:sz w:val="24"/>
                <w:szCs w:val="24"/>
                <w:highlight w:val="none"/>
              </w:rPr>
              <w:t>，</w:t>
            </w:r>
            <w:r>
              <w:rPr>
                <w:rFonts w:hint="eastAsia" w:ascii="宋体" w:hAnsi="宋体" w:eastAsia="宋体" w:cs="宋体"/>
                <w:sz w:val="24"/>
                <w:szCs w:val="24"/>
                <w:highlight w:val="none"/>
                <w:lang w:val="en-US" w:eastAsia="zh-CN"/>
              </w:rPr>
              <w:t>若</w:t>
            </w:r>
            <w:r>
              <w:rPr>
                <w:rFonts w:hint="eastAsia" w:ascii="宋体" w:hAnsi="宋体" w:eastAsia="宋体" w:cs="宋体"/>
                <w:sz w:val="24"/>
                <w:szCs w:val="24"/>
                <w:highlight w:val="none"/>
              </w:rPr>
              <w:t>因</w:t>
            </w:r>
            <w:r>
              <w:rPr>
                <w:rFonts w:hint="eastAsia" w:ascii="宋体" w:hAnsi="宋体" w:eastAsia="宋体" w:cs="宋体"/>
                <w:sz w:val="24"/>
                <w:szCs w:val="24"/>
                <w:highlight w:val="none"/>
                <w:lang w:val="en-US" w:eastAsia="zh-CN"/>
              </w:rPr>
              <w:t>事故造成车辆</w:t>
            </w:r>
            <w:r>
              <w:rPr>
                <w:rFonts w:hint="eastAsia" w:ascii="宋体" w:hAnsi="宋体" w:eastAsia="宋体" w:cs="宋体"/>
                <w:sz w:val="24"/>
                <w:szCs w:val="24"/>
                <w:highlight w:val="none"/>
              </w:rPr>
              <w:t>拥堵的，必须及时协调处理</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lang w:val="en-US" w:eastAsia="zh-CN"/>
              </w:rPr>
              <w:t>且</w:t>
            </w:r>
            <w:r>
              <w:rPr>
                <w:rFonts w:hint="eastAsia" w:ascii="宋体" w:hAnsi="宋体" w:eastAsia="宋体" w:cs="宋体"/>
                <w:sz w:val="24"/>
                <w:szCs w:val="24"/>
                <w:highlight w:val="none"/>
              </w:rPr>
              <w:t>在</w:t>
            </w:r>
            <w:r>
              <w:rPr>
                <w:rFonts w:hint="eastAsia" w:ascii="宋体" w:hAnsi="宋体" w:eastAsia="宋体" w:cs="宋体"/>
                <w:sz w:val="24"/>
                <w:szCs w:val="24"/>
                <w:highlight w:val="none"/>
                <w:lang w:val="en-US" w:eastAsia="zh-CN"/>
              </w:rPr>
              <w:t>20</w:t>
            </w:r>
            <w:r>
              <w:rPr>
                <w:rFonts w:hint="eastAsia" w:ascii="宋体" w:hAnsi="宋体" w:eastAsia="宋体" w:cs="宋体"/>
                <w:sz w:val="24"/>
                <w:szCs w:val="24"/>
                <w:highlight w:val="none"/>
              </w:rPr>
              <w:t>分钟内</w:t>
            </w:r>
            <w:r>
              <w:rPr>
                <w:rFonts w:hint="eastAsia" w:ascii="宋体" w:hAnsi="宋体" w:eastAsia="宋体" w:cs="宋体"/>
                <w:sz w:val="24"/>
                <w:szCs w:val="24"/>
                <w:highlight w:val="none"/>
                <w:lang w:val="en-US" w:eastAsia="zh-CN"/>
              </w:rPr>
              <w:t>完成</w:t>
            </w:r>
            <w:r>
              <w:rPr>
                <w:rFonts w:hint="eastAsia" w:ascii="宋体" w:hAnsi="宋体" w:eastAsia="宋体" w:cs="宋体"/>
                <w:sz w:val="24"/>
                <w:szCs w:val="24"/>
                <w:highlight w:val="none"/>
              </w:rPr>
              <w:t>疏通。</w:t>
            </w:r>
          </w:p>
        </w:tc>
        <w:tc>
          <w:tcPr>
            <w:tcW w:w="2813" w:type="dxa"/>
            <w:shd w:val="clear" w:color="auto" w:fill="auto"/>
            <w:vAlign w:val="center"/>
          </w:tcPr>
          <w:p w14:paraId="343665FD">
            <w:pPr>
              <w:keepNext w:val="0"/>
              <w:keepLines w:val="0"/>
              <w:pageBreakBefore w:val="0"/>
              <w:widowControl w:val="0"/>
              <w:kinsoku/>
              <w:wordWrap/>
              <w:overflowPunct/>
              <w:topLinePunct w:val="0"/>
              <w:autoSpaceDE/>
              <w:autoSpaceDN/>
              <w:bidi w:val="0"/>
              <w:adjustRightInd/>
              <w:snapToGrid/>
              <w:ind w:left="21" w:leftChars="10" w:right="21" w:rightChars="10" w:firstLine="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违反一次</w:t>
            </w:r>
            <w:r>
              <w:rPr>
                <w:rFonts w:hint="eastAsia" w:ascii="宋体" w:hAnsi="宋体" w:eastAsia="宋体" w:cs="宋体"/>
                <w:sz w:val="24"/>
                <w:szCs w:val="24"/>
                <w:highlight w:val="none"/>
              </w:rPr>
              <w:t>扣</w:t>
            </w:r>
            <w:r>
              <w:rPr>
                <w:rFonts w:hint="eastAsia" w:ascii="宋体" w:hAnsi="宋体" w:eastAsia="宋体" w:cs="宋体"/>
                <w:sz w:val="24"/>
                <w:szCs w:val="24"/>
                <w:highlight w:val="none"/>
                <w:lang w:val="en-US" w:eastAsia="zh-CN"/>
              </w:rPr>
              <w:t>2</w:t>
            </w:r>
            <w:r>
              <w:rPr>
                <w:rFonts w:hint="eastAsia" w:ascii="宋体" w:hAnsi="宋体" w:eastAsia="宋体" w:cs="宋体"/>
                <w:sz w:val="24"/>
                <w:szCs w:val="24"/>
                <w:highlight w:val="none"/>
              </w:rPr>
              <w:t>分。</w:t>
            </w:r>
          </w:p>
        </w:tc>
        <w:tc>
          <w:tcPr>
            <w:tcW w:w="1214" w:type="dxa"/>
            <w:vMerge w:val="continue"/>
            <w:shd w:val="clear" w:color="auto" w:fill="auto"/>
            <w:vAlign w:val="center"/>
          </w:tcPr>
          <w:p w14:paraId="395D056C">
            <w:pPr>
              <w:keepNext w:val="0"/>
              <w:keepLines w:val="0"/>
              <w:pageBreakBefore w:val="0"/>
              <w:widowControl w:val="0"/>
              <w:kinsoku/>
              <w:wordWrap/>
              <w:overflowPunct/>
              <w:topLinePunct w:val="0"/>
              <w:autoSpaceDE/>
              <w:autoSpaceDN/>
              <w:bidi w:val="0"/>
              <w:adjustRightInd/>
              <w:snapToGrid/>
              <w:ind w:left="21" w:leftChars="10" w:right="21" w:rightChars="10" w:firstLine="0"/>
              <w:textAlignment w:val="auto"/>
              <w:rPr>
                <w:rFonts w:hint="eastAsia" w:ascii="宋体" w:hAnsi="宋体" w:eastAsia="宋体" w:cs="宋体"/>
                <w:sz w:val="24"/>
                <w:szCs w:val="24"/>
                <w:highlight w:val="none"/>
              </w:rPr>
            </w:pPr>
          </w:p>
        </w:tc>
      </w:tr>
      <w:tr w14:paraId="70FD33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 w:type="dxa"/>
            <w:bottom w:w="0" w:type="dxa"/>
            <w:right w:w="10" w:type="dxa"/>
          </w:tblCellMar>
        </w:tblPrEx>
        <w:trPr>
          <w:trHeight w:val="721" w:hRule="exact"/>
        </w:trPr>
        <w:tc>
          <w:tcPr>
            <w:tcW w:w="643" w:type="dxa"/>
            <w:vMerge w:val="continue"/>
            <w:shd w:val="clear" w:color="auto" w:fill="auto"/>
            <w:vAlign w:val="center"/>
          </w:tcPr>
          <w:p w14:paraId="4657A2BF">
            <w:pPr>
              <w:keepNext w:val="0"/>
              <w:keepLines w:val="0"/>
              <w:pageBreakBefore w:val="0"/>
              <w:widowControl w:val="0"/>
              <w:kinsoku/>
              <w:wordWrap/>
              <w:overflowPunct/>
              <w:topLinePunct w:val="0"/>
              <w:autoSpaceDE/>
              <w:autoSpaceDN/>
              <w:bidi w:val="0"/>
              <w:adjustRightInd/>
              <w:snapToGrid/>
              <w:ind w:left="21" w:leftChars="10" w:right="21" w:rightChars="10" w:firstLine="0"/>
              <w:textAlignment w:val="auto"/>
              <w:rPr>
                <w:rFonts w:hint="eastAsia" w:ascii="宋体" w:hAnsi="宋体" w:eastAsia="宋体" w:cs="宋体"/>
                <w:sz w:val="24"/>
                <w:szCs w:val="24"/>
                <w:highlight w:val="none"/>
              </w:rPr>
            </w:pPr>
          </w:p>
        </w:tc>
        <w:tc>
          <w:tcPr>
            <w:tcW w:w="1373" w:type="dxa"/>
            <w:vMerge w:val="continue"/>
            <w:shd w:val="clear" w:color="auto" w:fill="auto"/>
            <w:vAlign w:val="center"/>
          </w:tcPr>
          <w:p w14:paraId="2BD1F8DF">
            <w:pPr>
              <w:keepNext w:val="0"/>
              <w:keepLines w:val="0"/>
              <w:pageBreakBefore w:val="0"/>
              <w:widowControl w:val="0"/>
              <w:kinsoku/>
              <w:wordWrap/>
              <w:overflowPunct/>
              <w:topLinePunct w:val="0"/>
              <w:autoSpaceDE/>
              <w:autoSpaceDN/>
              <w:bidi w:val="0"/>
              <w:adjustRightInd/>
              <w:snapToGrid/>
              <w:ind w:left="21" w:leftChars="10" w:right="21" w:rightChars="10" w:firstLine="0"/>
              <w:textAlignment w:val="auto"/>
              <w:rPr>
                <w:rFonts w:hint="eastAsia" w:ascii="宋体" w:hAnsi="宋体" w:eastAsia="宋体" w:cs="宋体"/>
                <w:sz w:val="24"/>
                <w:szCs w:val="24"/>
                <w:highlight w:val="none"/>
              </w:rPr>
            </w:pPr>
          </w:p>
        </w:tc>
        <w:tc>
          <w:tcPr>
            <w:tcW w:w="3346" w:type="dxa"/>
            <w:shd w:val="clear" w:color="auto" w:fill="auto"/>
            <w:vAlign w:val="center"/>
          </w:tcPr>
          <w:p w14:paraId="55EE2CB4">
            <w:pPr>
              <w:keepNext w:val="0"/>
              <w:keepLines w:val="0"/>
              <w:pageBreakBefore w:val="0"/>
              <w:widowControl w:val="0"/>
              <w:kinsoku/>
              <w:wordWrap/>
              <w:overflowPunct/>
              <w:topLinePunct w:val="0"/>
              <w:autoSpaceDE/>
              <w:autoSpaceDN/>
              <w:bidi w:val="0"/>
              <w:adjustRightInd/>
              <w:snapToGrid/>
              <w:ind w:left="21" w:leftChars="10" w:right="21" w:rightChars="10" w:firstLine="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要切实履行防火安全、门前三包、</w:t>
            </w:r>
            <w:r>
              <w:rPr>
                <w:rFonts w:hint="eastAsia" w:ascii="宋体" w:hAnsi="宋体" w:eastAsia="宋体" w:cs="宋体"/>
                <w:sz w:val="24"/>
                <w:szCs w:val="24"/>
                <w:highlight w:val="none"/>
                <w:lang w:val="en-US" w:eastAsia="zh-CN"/>
              </w:rPr>
              <w:t>治安安全等</w:t>
            </w:r>
            <w:r>
              <w:rPr>
                <w:rFonts w:hint="eastAsia" w:ascii="宋体" w:hAnsi="宋体" w:eastAsia="宋体" w:cs="宋体"/>
                <w:sz w:val="24"/>
                <w:szCs w:val="24"/>
                <w:highlight w:val="none"/>
              </w:rPr>
              <w:t>义务。</w:t>
            </w:r>
          </w:p>
        </w:tc>
        <w:tc>
          <w:tcPr>
            <w:tcW w:w="2813" w:type="dxa"/>
            <w:shd w:val="clear" w:color="auto" w:fill="auto"/>
            <w:vAlign w:val="center"/>
          </w:tcPr>
          <w:p w14:paraId="786F0210">
            <w:pPr>
              <w:keepNext w:val="0"/>
              <w:keepLines w:val="0"/>
              <w:pageBreakBefore w:val="0"/>
              <w:widowControl w:val="0"/>
              <w:kinsoku/>
              <w:wordWrap/>
              <w:overflowPunct/>
              <w:topLinePunct w:val="0"/>
              <w:autoSpaceDE/>
              <w:autoSpaceDN/>
              <w:bidi w:val="0"/>
              <w:adjustRightInd/>
              <w:snapToGrid/>
              <w:ind w:left="21" w:leftChars="10" w:right="21" w:rightChars="10" w:firstLine="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产生问题一次</w:t>
            </w:r>
            <w:r>
              <w:rPr>
                <w:rFonts w:hint="eastAsia" w:ascii="宋体" w:hAnsi="宋体" w:eastAsia="宋体" w:cs="宋体"/>
                <w:sz w:val="24"/>
                <w:szCs w:val="24"/>
                <w:highlight w:val="none"/>
              </w:rPr>
              <w:t>扣1分。</w:t>
            </w:r>
          </w:p>
        </w:tc>
        <w:tc>
          <w:tcPr>
            <w:tcW w:w="1214" w:type="dxa"/>
            <w:vMerge w:val="continue"/>
            <w:shd w:val="clear" w:color="auto" w:fill="auto"/>
            <w:vAlign w:val="center"/>
          </w:tcPr>
          <w:p w14:paraId="124F2331">
            <w:pPr>
              <w:keepNext w:val="0"/>
              <w:keepLines w:val="0"/>
              <w:pageBreakBefore w:val="0"/>
              <w:widowControl w:val="0"/>
              <w:kinsoku/>
              <w:wordWrap/>
              <w:overflowPunct/>
              <w:topLinePunct w:val="0"/>
              <w:autoSpaceDE/>
              <w:autoSpaceDN/>
              <w:bidi w:val="0"/>
              <w:adjustRightInd/>
              <w:snapToGrid/>
              <w:ind w:left="21" w:leftChars="10" w:right="21" w:rightChars="10" w:firstLine="0"/>
              <w:textAlignment w:val="auto"/>
              <w:rPr>
                <w:rFonts w:hint="eastAsia" w:ascii="宋体" w:hAnsi="宋体" w:eastAsia="宋体" w:cs="宋体"/>
                <w:sz w:val="24"/>
                <w:szCs w:val="24"/>
                <w:highlight w:val="none"/>
              </w:rPr>
            </w:pPr>
          </w:p>
        </w:tc>
      </w:tr>
      <w:tr w14:paraId="177E99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 w:type="dxa"/>
            <w:bottom w:w="0" w:type="dxa"/>
            <w:right w:w="10" w:type="dxa"/>
          </w:tblCellMar>
        </w:tblPrEx>
        <w:trPr>
          <w:trHeight w:val="643" w:hRule="exact"/>
        </w:trPr>
        <w:tc>
          <w:tcPr>
            <w:tcW w:w="643" w:type="dxa"/>
            <w:vMerge w:val="restart"/>
            <w:shd w:val="clear" w:color="auto" w:fill="auto"/>
            <w:vAlign w:val="center"/>
          </w:tcPr>
          <w:p w14:paraId="18A934E2">
            <w:pPr>
              <w:keepNext w:val="0"/>
              <w:keepLines w:val="0"/>
              <w:pageBreakBefore w:val="0"/>
              <w:widowControl w:val="0"/>
              <w:kinsoku/>
              <w:wordWrap/>
              <w:overflowPunct/>
              <w:topLinePunct w:val="0"/>
              <w:autoSpaceDE/>
              <w:autoSpaceDN/>
              <w:bidi w:val="0"/>
              <w:adjustRightInd/>
              <w:snapToGrid/>
              <w:ind w:left="21" w:leftChars="10" w:right="21" w:rightChars="10" w:firstLine="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单项</w:t>
            </w:r>
          </w:p>
          <w:p w14:paraId="2AF9F81F">
            <w:pPr>
              <w:keepNext w:val="0"/>
              <w:keepLines w:val="0"/>
              <w:pageBreakBefore w:val="0"/>
              <w:widowControl w:val="0"/>
              <w:kinsoku/>
              <w:wordWrap/>
              <w:overflowPunct/>
              <w:topLinePunct w:val="0"/>
              <w:autoSpaceDE/>
              <w:autoSpaceDN/>
              <w:bidi w:val="0"/>
              <w:adjustRightInd/>
              <w:snapToGrid/>
              <w:ind w:left="21" w:leftChars="10" w:right="21" w:rightChars="10" w:firstLine="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考核</w:t>
            </w:r>
          </w:p>
        </w:tc>
        <w:tc>
          <w:tcPr>
            <w:tcW w:w="4719" w:type="dxa"/>
            <w:gridSpan w:val="2"/>
            <w:shd w:val="clear" w:color="auto" w:fill="auto"/>
            <w:vAlign w:val="center"/>
          </w:tcPr>
          <w:p w14:paraId="241F0F77">
            <w:pPr>
              <w:keepNext w:val="0"/>
              <w:keepLines w:val="0"/>
              <w:pageBreakBefore w:val="0"/>
              <w:widowControl w:val="0"/>
              <w:kinsoku/>
              <w:wordWrap/>
              <w:overflowPunct/>
              <w:topLinePunct w:val="0"/>
              <w:autoSpaceDE/>
              <w:autoSpaceDN/>
              <w:bidi w:val="0"/>
              <w:adjustRightInd/>
              <w:snapToGrid/>
              <w:ind w:left="21" w:leftChars="10" w:right="21" w:rightChars="10" w:firstLine="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若因服</w:t>
            </w:r>
            <w:r>
              <w:rPr>
                <w:rFonts w:hint="eastAsia" w:ascii="宋体" w:hAnsi="宋体" w:eastAsia="宋体" w:cs="宋体"/>
                <w:sz w:val="24"/>
                <w:szCs w:val="24"/>
                <w:highlight w:val="none"/>
              </w:rPr>
              <w:t>务</w:t>
            </w:r>
            <w:r>
              <w:rPr>
                <w:rFonts w:hint="eastAsia" w:ascii="宋体" w:hAnsi="宋体" w:eastAsia="宋体" w:cs="宋体"/>
                <w:sz w:val="24"/>
                <w:szCs w:val="24"/>
                <w:highlight w:val="none"/>
                <w:lang w:val="en-US" w:eastAsia="zh-CN"/>
              </w:rPr>
              <w:t>问题产生</w:t>
            </w:r>
            <w:r>
              <w:rPr>
                <w:rFonts w:hint="eastAsia" w:ascii="宋体" w:hAnsi="宋体" w:eastAsia="宋体" w:cs="宋体"/>
                <w:sz w:val="24"/>
                <w:szCs w:val="24"/>
                <w:highlight w:val="none"/>
              </w:rPr>
              <w:t>投诉</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lang w:val="en-US" w:eastAsia="zh-CN"/>
              </w:rPr>
              <w:t>且经核实为有效投诉的</w:t>
            </w:r>
            <w:r>
              <w:rPr>
                <w:rFonts w:hint="eastAsia" w:ascii="宋体" w:hAnsi="宋体" w:eastAsia="宋体" w:cs="宋体"/>
                <w:sz w:val="24"/>
                <w:szCs w:val="24"/>
                <w:highlight w:val="none"/>
              </w:rPr>
              <w:t>。</w:t>
            </w:r>
          </w:p>
        </w:tc>
        <w:tc>
          <w:tcPr>
            <w:tcW w:w="2813" w:type="dxa"/>
            <w:shd w:val="clear" w:color="auto" w:fill="auto"/>
            <w:vAlign w:val="center"/>
          </w:tcPr>
          <w:p w14:paraId="2985A38D">
            <w:pPr>
              <w:keepNext w:val="0"/>
              <w:keepLines w:val="0"/>
              <w:pageBreakBefore w:val="0"/>
              <w:widowControl w:val="0"/>
              <w:kinsoku/>
              <w:wordWrap/>
              <w:overflowPunct/>
              <w:topLinePunct w:val="0"/>
              <w:autoSpaceDE/>
              <w:autoSpaceDN/>
              <w:bidi w:val="0"/>
              <w:adjustRightInd/>
              <w:snapToGrid/>
              <w:ind w:left="21" w:leftChars="10" w:right="21" w:rightChars="10" w:firstLine="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每</w:t>
            </w:r>
            <w:r>
              <w:rPr>
                <w:rFonts w:hint="eastAsia" w:ascii="宋体" w:hAnsi="宋体" w:eastAsia="宋体" w:cs="宋体"/>
                <w:sz w:val="24"/>
                <w:szCs w:val="24"/>
                <w:highlight w:val="none"/>
              </w:rPr>
              <w:t>次扣3分。</w:t>
            </w:r>
          </w:p>
        </w:tc>
        <w:tc>
          <w:tcPr>
            <w:tcW w:w="1214" w:type="dxa"/>
            <w:vMerge w:val="continue"/>
            <w:shd w:val="clear" w:color="auto" w:fill="auto"/>
            <w:vAlign w:val="center"/>
          </w:tcPr>
          <w:p w14:paraId="31B5C173">
            <w:pPr>
              <w:keepNext w:val="0"/>
              <w:keepLines w:val="0"/>
              <w:pageBreakBefore w:val="0"/>
              <w:widowControl w:val="0"/>
              <w:kinsoku/>
              <w:wordWrap/>
              <w:overflowPunct/>
              <w:topLinePunct w:val="0"/>
              <w:autoSpaceDE/>
              <w:autoSpaceDN/>
              <w:bidi w:val="0"/>
              <w:adjustRightInd/>
              <w:snapToGrid/>
              <w:ind w:left="21" w:leftChars="10" w:right="21" w:rightChars="10" w:firstLine="0"/>
              <w:textAlignment w:val="auto"/>
              <w:rPr>
                <w:rFonts w:hint="eastAsia" w:ascii="宋体" w:hAnsi="宋体" w:eastAsia="宋体" w:cs="宋体"/>
                <w:sz w:val="24"/>
                <w:szCs w:val="24"/>
                <w:highlight w:val="none"/>
              </w:rPr>
            </w:pPr>
          </w:p>
        </w:tc>
      </w:tr>
      <w:tr w14:paraId="1B0544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1622" w:hRule="exact"/>
        </w:trPr>
        <w:tc>
          <w:tcPr>
            <w:tcW w:w="643" w:type="dxa"/>
            <w:vMerge w:val="continue"/>
            <w:shd w:val="clear" w:color="auto" w:fill="auto"/>
            <w:vAlign w:val="center"/>
          </w:tcPr>
          <w:p w14:paraId="74B79A11">
            <w:pPr>
              <w:keepNext w:val="0"/>
              <w:keepLines w:val="0"/>
              <w:pageBreakBefore w:val="0"/>
              <w:widowControl w:val="0"/>
              <w:kinsoku/>
              <w:wordWrap/>
              <w:overflowPunct/>
              <w:topLinePunct w:val="0"/>
              <w:autoSpaceDE/>
              <w:autoSpaceDN/>
              <w:bidi w:val="0"/>
              <w:adjustRightInd/>
              <w:snapToGrid/>
              <w:ind w:left="21" w:leftChars="10" w:right="21" w:rightChars="10" w:firstLine="0"/>
              <w:textAlignment w:val="auto"/>
              <w:rPr>
                <w:rFonts w:hint="eastAsia" w:ascii="宋体" w:hAnsi="宋体" w:eastAsia="宋体" w:cs="宋体"/>
                <w:sz w:val="24"/>
                <w:szCs w:val="24"/>
                <w:highlight w:val="none"/>
              </w:rPr>
            </w:pPr>
          </w:p>
        </w:tc>
        <w:tc>
          <w:tcPr>
            <w:tcW w:w="4719" w:type="dxa"/>
            <w:gridSpan w:val="2"/>
            <w:shd w:val="clear" w:color="auto" w:fill="auto"/>
            <w:vAlign w:val="center"/>
          </w:tcPr>
          <w:p w14:paraId="715BD6A4">
            <w:pPr>
              <w:keepNext w:val="0"/>
              <w:keepLines w:val="0"/>
              <w:pageBreakBefore w:val="0"/>
              <w:widowControl w:val="0"/>
              <w:kinsoku/>
              <w:wordWrap/>
              <w:overflowPunct/>
              <w:topLinePunct w:val="0"/>
              <w:autoSpaceDE/>
              <w:autoSpaceDN/>
              <w:bidi w:val="0"/>
              <w:adjustRightInd/>
              <w:snapToGrid/>
              <w:ind w:left="21" w:leftChars="10" w:right="21" w:rightChars="10" w:firstLine="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必须具备进行停车场管理运营及收费的资质</w:t>
            </w:r>
            <w:r>
              <w:rPr>
                <w:rFonts w:hint="eastAsia" w:ascii="宋体" w:hAnsi="宋体" w:eastAsia="宋体" w:cs="宋体"/>
                <w:sz w:val="24"/>
                <w:szCs w:val="24"/>
                <w:highlight w:val="none"/>
              </w:rPr>
              <w:t>，</w:t>
            </w:r>
            <w:r>
              <w:rPr>
                <w:rFonts w:hint="eastAsia" w:ascii="宋体" w:hAnsi="宋体" w:eastAsia="宋体" w:cs="宋体"/>
                <w:sz w:val="24"/>
                <w:szCs w:val="24"/>
                <w:highlight w:val="none"/>
                <w:lang w:val="en-US" w:eastAsia="zh-CN"/>
              </w:rPr>
              <w:t>且办理相关许可证及备案手续，</w:t>
            </w:r>
            <w:r>
              <w:rPr>
                <w:rFonts w:hint="eastAsia" w:ascii="宋体" w:hAnsi="宋体" w:eastAsia="宋体" w:cs="宋体"/>
                <w:sz w:val="24"/>
                <w:szCs w:val="24"/>
                <w:highlight w:val="none"/>
              </w:rPr>
              <w:t>按税收管理制度</w:t>
            </w:r>
            <w:r>
              <w:rPr>
                <w:rFonts w:hint="eastAsia" w:ascii="宋体" w:hAnsi="宋体" w:eastAsia="宋体" w:cs="宋体"/>
                <w:sz w:val="24"/>
                <w:szCs w:val="24"/>
                <w:highlight w:val="none"/>
                <w:lang w:val="en-US" w:eastAsia="zh-CN"/>
              </w:rPr>
              <w:t>开具</w:t>
            </w:r>
            <w:r>
              <w:rPr>
                <w:rFonts w:hint="eastAsia" w:ascii="宋体" w:hAnsi="宋体" w:eastAsia="宋体" w:cs="宋体"/>
                <w:sz w:val="24"/>
                <w:szCs w:val="24"/>
                <w:highlight w:val="none"/>
              </w:rPr>
              <w:t>发票。不得使用假票和涂改及与单位不相符的票</w:t>
            </w:r>
            <w:r>
              <w:rPr>
                <w:rFonts w:hint="eastAsia" w:ascii="宋体" w:hAnsi="宋体" w:eastAsia="宋体" w:cs="宋体"/>
                <w:sz w:val="24"/>
                <w:szCs w:val="24"/>
                <w:highlight w:val="none"/>
                <w:lang w:val="en-US" w:eastAsia="zh-CN"/>
              </w:rPr>
              <w:t>证</w:t>
            </w:r>
            <w:r>
              <w:rPr>
                <w:rFonts w:hint="eastAsia" w:ascii="宋体" w:hAnsi="宋体" w:eastAsia="宋体" w:cs="宋体"/>
                <w:sz w:val="24"/>
                <w:szCs w:val="24"/>
                <w:highlight w:val="none"/>
              </w:rPr>
              <w:t>，不得伪造有关证照和票据。</w:t>
            </w:r>
          </w:p>
        </w:tc>
        <w:tc>
          <w:tcPr>
            <w:tcW w:w="2813" w:type="dxa"/>
            <w:shd w:val="clear" w:color="auto" w:fill="auto"/>
            <w:vAlign w:val="center"/>
          </w:tcPr>
          <w:p w14:paraId="7143F3A1">
            <w:pPr>
              <w:keepNext w:val="0"/>
              <w:keepLines w:val="0"/>
              <w:pageBreakBefore w:val="0"/>
              <w:widowControl w:val="0"/>
              <w:kinsoku/>
              <w:wordWrap/>
              <w:overflowPunct/>
              <w:topLinePunct w:val="0"/>
              <w:autoSpaceDE/>
              <w:autoSpaceDN/>
              <w:bidi w:val="0"/>
              <w:adjustRightInd/>
              <w:snapToGrid/>
              <w:ind w:left="21" w:leftChars="10" w:right="21" w:rightChars="10" w:firstLine="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发生</w:t>
            </w:r>
            <w:r>
              <w:rPr>
                <w:rFonts w:hint="eastAsia" w:ascii="宋体" w:hAnsi="宋体" w:eastAsia="宋体" w:cs="宋体"/>
                <w:sz w:val="24"/>
                <w:szCs w:val="24"/>
                <w:highlight w:val="none"/>
              </w:rPr>
              <w:t>一次扣3分。</w:t>
            </w:r>
          </w:p>
        </w:tc>
        <w:tc>
          <w:tcPr>
            <w:tcW w:w="1214" w:type="dxa"/>
            <w:vMerge w:val="continue"/>
            <w:shd w:val="clear" w:color="auto" w:fill="auto"/>
            <w:vAlign w:val="center"/>
          </w:tcPr>
          <w:p w14:paraId="04174102">
            <w:pPr>
              <w:rPr>
                <w:rFonts w:hint="eastAsia" w:ascii="宋体" w:hAnsi="宋体" w:eastAsia="宋体" w:cs="宋体"/>
                <w:sz w:val="24"/>
                <w:szCs w:val="24"/>
                <w:highlight w:val="none"/>
              </w:rPr>
            </w:pPr>
          </w:p>
        </w:tc>
      </w:tr>
      <w:tr w14:paraId="314E43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 w:type="dxa"/>
            <w:bottom w:w="0" w:type="dxa"/>
            <w:right w:w="10" w:type="dxa"/>
          </w:tblCellMar>
        </w:tblPrEx>
        <w:trPr>
          <w:trHeight w:val="653" w:hRule="exact"/>
        </w:trPr>
        <w:tc>
          <w:tcPr>
            <w:tcW w:w="643" w:type="dxa"/>
            <w:vMerge w:val="continue"/>
            <w:shd w:val="clear" w:color="auto" w:fill="auto"/>
            <w:vAlign w:val="center"/>
          </w:tcPr>
          <w:p w14:paraId="13EDEE07">
            <w:pPr>
              <w:keepNext w:val="0"/>
              <w:keepLines w:val="0"/>
              <w:pageBreakBefore w:val="0"/>
              <w:widowControl w:val="0"/>
              <w:kinsoku/>
              <w:wordWrap/>
              <w:overflowPunct/>
              <w:topLinePunct w:val="0"/>
              <w:autoSpaceDE/>
              <w:autoSpaceDN/>
              <w:bidi w:val="0"/>
              <w:adjustRightInd/>
              <w:snapToGrid/>
              <w:ind w:left="21" w:leftChars="10" w:right="21" w:rightChars="10" w:firstLine="0"/>
              <w:textAlignment w:val="auto"/>
              <w:rPr>
                <w:rFonts w:hint="eastAsia" w:ascii="宋体" w:hAnsi="宋体" w:eastAsia="宋体" w:cs="宋体"/>
                <w:sz w:val="24"/>
                <w:szCs w:val="24"/>
                <w:highlight w:val="none"/>
              </w:rPr>
            </w:pPr>
          </w:p>
        </w:tc>
        <w:tc>
          <w:tcPr>
            <w:tcW w:w="4719" w:type="dxa"/>
            <w:gridSpan w:val="2"/>
            <w:shd w:val="clear" w:color="auto" w:fill="auto"/>
            <w:vAlign w:val="bottom"/>
          </w:tcPr>
          <w:p w14:paraId="716BD97F">
            <w:pPr>
              <w:keepNext w:val="0"/>
              <w:keepLines w:val="0"/>
              <w:pageBreakBefore w:val="0"/>
              <w:widowControl w:val="0"/>
              <w:kinsoku/>
              <w:wordWrap/>
              <w:overflowPunct/>
              <w:topLinePunct w:val="0"/>
              <w:autoSpaceDE/>
              <w:autoSpaceDN/>
              <w:bidi w:val="0"/>
              <w:adjustRightInd/>
              <w:snapToGrid/>
              <w:ind w:left="21" w:leftChars="10" w:right="21" w:rightChars="10" w:firstLine="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因设备或管理原因</w:t>
            </w:r>
            <w:r>
              <w:rPr>
                <w:rFonts w:hint="eastAsia" w:ascii="宋体" w:hAnsi="宋体" w:eastAsia="宋体" w:cs="宋体"/>
                <w:sz w:val="24"/>
                <w:szCs w:val="24"/>
                <w:highlight w:val="none"/>
              </w:rPr>
              <w:t>导致</w:t>
            </w:r>
            <w:r>
              <w:rPr>
                <w:rFonts w:hint="eastAsia" w:ascii="宋体" w:hAnsi="宋体" w:eastAsia="宋体" w:cs="宋体"/>
                <w:sz w:val="24"/>
                <w:szCs w:val="24"/>
                <w:highlight w:val="none"/>
                <w:lang w:val="en-US" w:eastAsia="zh-CN"/>
              </w:rPr>
              <w:t>停放</w:t>
            </w:r>
            <w:r>
              <w:rPr>
                <w:rFonts w:hint="eastAsia" w:ascii="宋体" w:hAnsi="宋体" w:eastAsia="宋体" w:cs="宋体"/>
                <w:sz w:val="24"/>
                <w:szCs w:val="24"/>
                <w:highlight w:val="none"/>
              </w:rPr>
              <w:t>车辆损坏</w:t>
            </w:r>
            <w:r>
              <w:rPr>
                <w:rFonts w:hint="eastAsia" w:ascii="宋体" w:hAnsi="宋体" w:eastAsia="宋体" w:cs="宋体"/>
                <w:sz w:val="24"/>
                <w:szCs w:val="24"/>
                <w:highlight w:val="none"/>
                <w:lang w:val="en-US" w:eastAsia="zh-CN"/>
              </w:rPr>
              <w:t>的</w:t>
            </w:r>
            <w:r>
              <w:rPr>
                <w:rFonts w:hint="eastAsia" w:ascii="宋体" w:hAnsi="宋体" w:eastAsia="宋体" w:cs="宋体"/>
                <w:sz w:val="24"/>
                <w:szCs w:val="24"/>
                <w:highlight w:val="none"/>
              </w:rPr>
              <w:t>，</w:t>
            </w:r>
            <w:r>
              <w:rPr>
                <w:rFonts w:hint="eastAsia" w:ascii="宋体" w:hAnsi="宋体" w:eastAsia="宋体" w:cs="宋体"/>
                <w:sz w:val="24"/>
                <w:szCs w:val="24"/>
                <w:highlight w:val="none"/>
                <w:lang w:val="en-US" w:eastAsia="zh-CN"/>
              </w:rPr>
              <w:t>需</w:t>
            </w:r>
            <w:r>
              <w:rPr>
                <w:rFonts w:hint="eastAsia" w:ascii="宋体" w:hAnsi="宋体" w:eastAsia="宋体" w:cs="宋体"/>
                <w:sz w:val="24"/>
                <w:szCs w:val="24"/>
                <w:highlight w:val="none"/>
              </w:rPr>
              <w:t>5分钟内</w:t>
            </w:r>
            <w:r>
              <w:rPr>
                <w:rFonts w:hint="eastAsia" w:ascii="宋体" w:hAnsi="宋体" w:eastAsia="宋体" w:cs="宋体"/>
                <w:sz w:val="24"/>
                <w:szCs w:val="24"/>
                <w:highlight w:val="none"/>
                <w:lang w:val="en-US" w:eastAsia="zh-CN"/>
              </w:rPr>
              <w:t>到场</w:t>
            </w:r>
            <w:r>
              <w:rPr>
                <w:rFonts w:hint="eastAsia" w:ascii="宋体" w:hAnsi="宋体" w:eastAsia="宋体" w:cs="宋体"/>
                <w:sz w:val="24"/>
                <w:szCs w:val="24"/>
                <w:highlight w:val="none"/>
              </w:rPr>
              <w:t>处理</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lang w:val="en-US" w:eastAsia="zh-CN"/>
              </w:rPr>
              <w:t>且</w:t>
            </w:r>
            <w:r>
              <w:rPr>
                <w:rFonts w:hint="eastAsia" w:ascii="宋体" w:hAnsi="宋体" w:eastAsia="宋体" w:cs="宋体"/>
                <w:sz w:val="24"/>
                <w:szCs w:val="24"/>
                <w:highlight w:val="none"/>
              </w:rPr>
              <w:t>有效</w:t>
            </w:r>
            <w:r>
              <w:rPr>
                <w:rFonts w:hint="eastAsia" w:ascii="宋体" w:hAnsi="宋体" w:eastAsia="宋体" w:cs="宋体"/>
                <w:sz w:val="24"/>
                <w:szCs w:val="24"/>
                <w:highlight w:val="none"/>
                <w:lang w:val="en-US" w:eastAsia="zh-CN"/>
              </w:rPr>
              <w:t>化</w:t>
            </w:r>
            <w:r>
              <w:rPr>
                <w:rFonts w:hint="eastAsia" w:ascii="宋体" w:hAnsi="宋体" w:eastAsia="宋体" w:cs="宋体"/>
                <w:sz w:val="24"/>
                <w:szCs w:val="24"/>
                <w:highlight w:val="none"/>
              </w:rPr>
              <w:t>解。</w:t>
            </w:r>
          </w:p>
        </w:tc>
        <w:tc>
          <w:tcPr>
            <w:tcW w:w="2813" w:type="dxa"/>
            <w:shd w:val="clear" w:color="auto" w:fill="auto"/>
            <w:vAlign w:val="center"/>
          </w:tcPr>
          <w:p w14:paraId="1B0A1029">
            <w:pPr>
              <w:keepNext w:val="0"/>
              <w:keepLines w:val="0"/>
              <w:pageBreakBefore w:val="0"/>
              <w:widowControl w:val="0"/>
              <w:kinsoku/>
              <w:wordWrap/>
              <w:overflowPunct/>
              <w:topLinePunct w:val="0"/>
              <w:autoSpaceDE/>
              <w:autoSpaceDN/>
              <w:bidi w:val="0"/>
              <w:adjustRightInd/>
              <w:snapToGrid/>
              <w:ind w:left="21" w:leftChars="10" w:right="21" w:rightChars="10" w:firstLine="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违反</w:t>
            </w:r>
            <w:r>
              <w:rPr>
                <w:rFonts w:hint="eastAsia" w:ascii="宋体" w:hAnsi="宋体" w:eastAsia="宋体" w:cs="宋体"/>
                <w:sz w:val="24"/>
                <w:szCs w:val="24"/>
                <w:highlight w:val="none"/>
              </w:rPr>
              <w:t>一次1分。</w:t>
            </w:r>
          </w:p>
        </w:tc>
        <w:tc>
          <w:tcPr>
            <w:tcW w:w="1214" w:type="dxa"/>
            <w:vMerge w:val="continue"/>
            <w:shd w:val="clear" w:color="auto" w:fill="auto"/>
            <w:vAlign w:val="center"/>
          </w:tcPr>
          <w:p w14:paraId="79664748">
            <w:pPr>
              <w:rPr>
                <w:rFonts w:hint="eastAsia" w:ascii="宋体" w:hAnsi="宋体" w:eastAsia="宋体" w:cs="宋体"/>
                <w:sz w:val="24"/>
                <w:szCs w:val="24"/>
                <w:highlight w:val="none"/>
              </w:rPr>
            </w:pPr>
          </w:p>
        </w:tc>
      </w:tr>
      <w:tr w14:paraId="37CA3B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1570" w:hRule="exact"/>
        </w:trPr>
        <w:tc>
          <w:tcPr>
            <w:tcW w:w="643" w:type="dxa"/>
            <w:vMerge w:val="continue"/>
            <w:shd w:val="clear" w:color="auto" w:fill="auto"/>
            <w:vAlign w:val="center"/>
          </w:tcPr>
          <w:p w14:paraId="6F068DBD">
            <w:pPr>
              <w:keepNext w:val="0"/>
              <w:keepLines w:val="0"/>
              <w:pageBreakBefore w:val="0"/>
              <w:widowControl w:val="0"/>
              <w:kinsoku/>
              <w:wordWrap/>
              <w:overflowPunct/>
              <w:topLinePunct w:val="0"/>
              <w:autoSpaceDE/>
              <w:autoSpaceDN/>
              <w:bidi w:val="0"/>
              <w:adjustRightInd/>
              <w:snapToGrid/>
              <w:ind w:left="21" w:leftChars="10" w:right="21" w:rightChars="10" w:firstLine="0"/>
              <w:textAlignment w:val="auto"/>
              <w:rPr>
                <w:rFonts w:hint="eastAsia" w:ascii="宋体" w:hAnsi="宋体" w:eastAsia="宋体" w:cs="宋体"/>
                <w:sz w:val="24"/>
                <w:szCs w:val="24"/>
                <w:highlight w:val="none"/>
              </w:rPr>
            </w:pPr>
          </w:p>
        </w:tc>
        <w:tc>
          <w:tcPr>
            <w:tcW w:w="4719" w:type="dxa"/>
            <w:gridSpan w:val="2"/>
            <w:shd w:val="clear" w:color="auto" w:fill="auto"/>
            <w:vAlign w:val="center"/>
          </w:tcPr>
          <w:p w14:paraId="145C4185">
            <w:pPr>
              <w:keepNext w:val="0"/>
              <w:keepLines w:val="0"/>
              <w:pageBreakBefore w:val="0"/>
              <w:widowControl w:val="0"/>
              <w:kinsoku/>
              <w:wordWrap/>
              <w:overflowPunct/>
              <w:topLinePunct w:val="0"/>
              <w:autoSpaceDE/>
              <w:autoSpaceDN/>
              <w:bidi w:val="0"/>
              <w:adjustRightInd/>
              <w:snapToGrid/>
              <w:ind w:left="21" w:leftChars="10" w:right="21" w:rightChars="10" w:firstLine="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若有建</w:t>
            </w:r>
            <w:r>
              <w:rPr>
                <w:rFonts w:hint="eastAsia" w:ascii="宋体" w:hAnsi="宋体" w:eastAsia="宋体" w:cs="宋体"/>
                <w:sz w:val="24"/>
                <w:szCs w:val="24"/>
                <w:highlight w:val="none"/>
              </w:rPr>
              <w:t>筑</w:t>
            </w:r>
            <w:r>
              <w:rPr>
                <w:rFonts w:hint="eastAsia" w:ascii="宋体" w:hAnsi="宋体" w:eastAsia="宋体" w:cs="宋体"/>
                <w:sz w:val="24"/>
                <w:szCs w:val="24"/>
                <w:highlight w:val="none"/>
                <w:lang w:val="en-US" w:eastAsia="zh-CN"/>
              </w:rPr>
              <w:t>杂物</w:t>
            </w:r>
            <w:r>
              <w:rPr>
                <w:rFonts w:hint="eastAsia" w:ascii="宋体" w:hAnsi="宋体" w:eastAsia="宋体" w:cs="宋体"/>
                <w:sz w:val="24"/>
                <w:szCs w:val="24"/>
                <w:highlight w:val="none"/>
              </w:rPr>
              <w:t>、乱摆卖摊</w:t>
            </w:r>
            <w:r>
              <w:rPr>
                <w:rFonts w:hint="eastAsia" w:ascii="宋体" w:hAnsi="宋体" w:eastAsia="宋体" w:cs="宋体"/>
                <w:sz w:val="24"/>
                <w:szCs w:val="24"/>
                <w:highlight w:val="none"/>
                <w:lang w:val="en-US" w:eastAsia="zh-CN"/>
              </w:rPr>
              <w:t>档等占用</w:t>
            </w:r>
            <w:r>
              <w:rPr>
                <w:rFonts w:hint="eastAsia" w:ascii="宋体" w:hAnsi="宋体" w:eastAsia="宋体" w:cs="宋体"/>
                <w:sz w:val="24"/>
                <w:szCs w:val="24"/>
                <w:highlight w:val="none"/>
              </w:rPr>
              <w:t>停车位、消防通道、行车通道</w:t>
            </w:r>
            <w:r>
              <w:rPr>
                <w:rFonts w:hint="eastAsia" w:ascii="宋体" w:hAnsi="宋体" w:eastAsia="宋体" w:cs="宋体"/>
                <w:sz w:val="24"/>
                <w:szCs w:val="24"/>
                <w:highlight w:val="none"/>
                <w:lang w:val="en-US" w:eastAsia="zh-CN"/>
              </w:rPr>
              <w:t>等情况的</w:t>
            </w:r>
            <w:r>
              <w:rPr>
                <w:rFonts w:hint="eastAsia" w:ascii="宋体" w:hAnsi="宋体" w:eastAsia="宋体" w:cs="宋体"/>
                <w:sz w:val="24"/>
                <w:szCs w:val="24"/>
                <w:highlight w:val="none"/>
              </w:rPr>
              <w:t>，</w:t>
            </w:r>
            <w:r>
              <w:rPr>
                <w:rFonts w:hint="eastAsia" w:ascii="宋体" w:hAnsi="宋体" w:eastAsia="宋体" w:cs="宋体"/>
                <w:sz w:val="24"/>
                <w:szCs w:val="24"/>
                <w:highlight w:val="none"/>
                <w:lang w:val="en-US" w:eastAsia="zh-CN"/>
              </w:rPr>
              <w:t>需5分钟内到场处理；</w:t>
            </w:r>
            <w:r>
              <w:rPr>
                <w:rFonts w:hint="eastAsia" w:ascii="宋体" w:hAnsi="宋体" w:eastAsia="宋体" w:cs="宋体"/>
                <w:sz w:val="24"/>
                <w:szCs w:val="24"/>
                <w:highlight w:val="none"/>
              </w:rPr>
              <w:t>对</w:t>
            </w:r>
            <w:r>
              <w:rPr>
                <w:rFonts w:hint="eastAsia" w:ascii="宋体" w:hAnsi="宋体" w:eastAsia="宋体" w:cs="宋体"/>
                <w:sz w:val="24"/>
                <w:szCs w:val="24"/>
                <w:highlight w:val="none"/>
                <w:lang w:val="en-US" w:eastAsia="zh-CN"/>
              </w:rPr>
              <w:t>3次以上</w:t>
            </w:r>
            <w:r>
              <w:rPr>
                <w:rFonts w:hint="eastAsia" w:ascii="宋体" w:hAnsi="宋体" w:eastAsia="宋体" w:cs="宋体"/>
                <w:sz w:val="24"/>
                <w:szCs w:val="24"/>
                <w:highlight w:val="none"/>
              </w:rPr>
              <w:t>占用</w:t>
            </w:r>
            <w:r>
              <w:rPr>
                <w:rFonts w:hint="eastAsia" w:ascii="宋体" w:hAnsi="宋体" w:eastAsia="宋体" w:cs="宋体"/>
                <w:sz w:val="24"/>
                <w:szCs w:val="24"/>
                <w:highlight w:val="none"/>
                <w:lang w:val="en-US" w:eastAsia="zh-CN"/>
              </w:rPr>
              <w:t>行车通道</w:t>
            </w:r>
            <w:r>
              <w:rPr>
                <w:rFonts w:hint="eastAsia" w:ascii="宋体" w:hAnsi="宋体" w:eastAsia="宋体" w:cs="宋体"/>
                <w:sz w:val="24"/>
                <w:szCs w:val="24"/>
                <w:highlight w:val="none"/>
              </w:rPr>
              <w:t>、消防通道</w:t>
            </w:r>
            <w:r>
              <w:rPr>
                <w:rFonts w:hint="eastAsia" w:ascii="宋体" w:hAnsi="宋体" w:eastAsia="宋体" w:cs="宋体"/>
                <w:sz w:val="24"/>
                <w:szCs w:val="24"/>
                <w:highlight w:val="none"/>
                <w:lang w:val="en-US" w:eastAsia="zh-CN"/>
              </w:rPr>
              <w:t>等的车辆</w:t>
            </w:r>
            <w:r>
              <w:rPr>
                <w:rFonts w:hint="eastAsia" w:ascii="宋体" w:hAnsi="宋体" w:eastAsia="宋体" w:cs="宋体"/>
                <w:sz w:val="24"/>
                <w:szCs w:val="24"/>
                <w:highlight w:val="none"/>
              </w:rPr>
              <w:t>给予</w:t>
            </w:r>
            <w:r>
              <w:rPr>
                <w:rFonts w:hint="eastAsia" w:ascii="宋体" w:hAnsi="宋体" w:eastAsia="宋体" w:cs="宋体"/>
                <w:sz w:val="24"/>
                <w:szCs w:val="24"/>
                <w:highlight w:val="none"/>
                <w:lang w:val="en-US" w:eastAsia="zh-CN"/>
              </w:rPr>
              <w:t>处理，</w:t>
            </w:r>
            <w:r>
              <w:rPr>
                <w:rFonts w:hint="eastAsia" w:ascii="宋体" w:hAnsi="宋体" w:eastAsia="宋体" w:cs="宋体"/>
                <w:sz w:val="24"/>
                <w:szCs w:val="24"/>
                <w:highlight w:val="none"/>
              </w:rPr>
              <w:t>禁止</w:t>
            </w:r>
            <w:r>
              <w:rPr>
                <w:rFonts w:hint="eastAsia" w:ascii="宋体" w:hAnsi="宋体" w:eastAsia="宋体" w:cs="宋体"/>
                <w:sz w:val="24"/>
                <w:szCs w:val="24"/>
                <w:highlight w:val="none"/>
                <w:lang w:val="en-US" w:eastAsia="zh-CN"/>
              </w:rPr>
              <w:t>该</w:t>
            </w:r>
            <w:r>
              <w:rPr>
                <w:rFonts w:hint="eastAsia" w:ascii="宋体" w:hAnsi="宋体" w:eastAsia="宋体" w:cs="宋体"/>
                <w:sz w:val="24"/>
                <w:szCs w:val="24"/>
                <w:highlight w:val="none"/>
              </w:rPr>
              <w:t>车辆进入村内。</w:t>
            </w:r>
          </w:p>
        </w:tc>
        <w:tc>
          <w:tcPr>
            <w:tcW w:w="2813" w:type="dxa"/>
            <w:shd w:val="clear" w:color="auto" w:fill="auto"/>
            <w:vAlign w:val="center"/>
          </w:tcPr>
          <w:p w14:paraId="2BD98CA5">
            <w:pPr>
              <w:keepNext w:val="0"/>
              <w:keepLines w:val="0"/>
              <w:pageBreakBefore w:val="0"/>
              <w:widowControl w:val="0"/>
              <w:kinsoku/>
              <w:wordWrap/>
              <w:overflowPunct/>
              <w:topLinePunct w:val="0"/>
              <w:autoSpaceDE/>
              <w:autoSpaceDN/>
              <w:bidi w:val="0"/>
              <w:adjustRightInd/>
              <w:snapToGrid/>
              <w:ind w:left="21" w:leftChars="10" w:right="21" w:rightChars="10" w:firstLine="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未按要求处理</w:t>
            </w:r>
            <w:r>
              <w:rPr>
                <w:rFonts w:hint="eastAsia" w:ascii="宋体" w:hAnsi="宋体" w:eastAsia="宋体" w:cs="宋体"/>
                <w:sz w:val="24"/>
                <w:szCs w:val="24"/>
                <w:highlight w:val="none"/>
              </w:rPr>
              <w:t>一次</w:t>
            </w:r>
            <w:r>
              <w:rPr>
                <w:rFonts w:hint="eastAsia" w:ascii="宋体" w:hAnsi="宋体" w:eastAsia="宋体" w:cs="宋体"/>
                <w:sz w:val="24"/>
                <w:szCs w:val="24"/>
                <w:highlight w:val="none"/>
                <w:lang w:val="en-US" w:eastAsia="zh-CN"/>
              </w:rPr>
              <w:t>扣</w:t>
            </w:r>
            <w:r>
              <w:rPr>
                <w:rFonts w:hint="eastAsia" w:ascii="宋体" w:hAnsi="宋体" w:eastAsia="宋体" w:cs="宋体"/>
                <w:sz w:val="24"/>
                <w:szCs w:val="24"/>
                <w:highlight w:val="none"/>
              </w:rPr>
              <w:t>1分</w:t>
            </w:r>
          </w:p>
        </w:tc>
        <w:tc>
          <w:tcPr>
            <w:tcW w:w="1214" w:type="dxa"/>
            <w:vMerge w:val="continue"/>
            <w:shd w:val="clear" w:color="auto" w:fill="auto"/>
            <w:vAlign w:val="top"/>
          </w:tcPr>
          <w:p w14:paraId="2A19D1DB">
            <w:pPr>
              <w:widowControl w:val="0"/>
              <w:rPr>
                <w:rFonts w:hint="eastAsia" w:ascii="宋体" w:hAnsi="宋体" w:eastAsia="宋体" w:cs="宋体"/>
                <w:sz w:val="24"/>
                <w:szCs w:val="24"/>
                <w:highlight w:val="none"/>
              </w:rPr>
            </w:pPr>
          </w:p>
        </w:tc>
      </w:tr>
    </w:tbl>
    <w:p w14:paraId="556A02E1">
      <w:pPr>
        <w:pStyle w:val="31"/>
        <w:numPr>
          <w:ilvl w:val="0"/>
          <w:numId w:val="0"/>
        </w:numPr>
        <w:spacing w:line="360" w:lineRule="auto"/>
        <w:ind w:left="479" w:leftChars="228" w:firstLine="62" w:firstLineChars="26"/>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val="en-US" w:eastAsia="zh-CN"/>
        </w:rPr>
        <w:t>备注：</w:t>
      </w:r>
      <w:r>
        <w:rPr>
          <w:rFonts w:hint="eastAsia" w:ascii="宋体" w:hAnsi="宋体" w:eastAsia="宋体" w:cs="宋体"/>
          <w:color w:val="auto"/>
          <w:sz w:val="24"/>
          <w:szCs w:val="24"/>
          <w:highlight w:val="none"/>
        </w:rPr>
        <w:t>每季度考核一次，考核总分为100分，具体考核制度</w:t>
      </w:r>
      <w:r>
        <w:rPr>
          <w:rFonts w:hint="eastAsia" w:ascii="宋体" w:hAnsi="宋体" w:eastAsia="宋体" w:cs="宋体"/>
          <w:color w:val="auto"/>
          <w:sz w:val="24"/>
          <w:szCs w:val="24"/>
          <w:highlight w:val="none"/>
          <w:lang w:val="en-US" w:eastAsia="zh-CN"/>
        </w:rPr>
        <w:t>和</w:t>
      </w:r>
      <w:r>
        <w:rPr>
          <w:rFonts w:hint="eastAsia" w:ascii="宋体" w:hAnsi="宋体" w:eastAsia="宋体" w:cs="宋体"/>
          <w:b/>
          <w:bCs/>
          <w:color w:val="auto"/>
          <w:sz w:val="24"/>
          <w:szCs w:val="24"/>
          <w:highlight w:val="none"/>
          <w:lang w:val="en-US" w:eastAsia="zh-CN"/>
        </w:rPr>
        <w:t>监管惩罚金额</w:t>
      </w:r>
      <w:r>
        <w:rPr>
          <w:rFonts w:hint="eastAsia" w:ascii="宋体" w:hAnsi="宋体" w:eastAsia="宋体" w:cs="宋体"/>
          <w:color w:val="auto"/>
          <w:sz w:val="24"/>
          <w:szCs w:val="24"/>
          <w:highlight w:val="none"/>
        </w:rPr>
        <w:t>如下</w:t>
      </w:r>
      <w:r>
        <w:rPr>
          <w:rFonts w:hint="eastAsia" w:ascii="宋体" w:hAnsi="宋体" w:cs="宋体"/>
          <w:color w:val="auto"/>
          <w:sz w:val="24"/>
          <w:szCs w:val="24"/>
          <w:highlight w:val="none"/>
          <w:lang w:eastAsia="zh-CN"/>
        </w:rPr>
        <w:t>：</w:t>
      </w:r>
    </w:p>
    <w:p w14:paraId="62B00CF2">
      <w:pPr>
        <w:pStyle w:val="31"/>
        <w:numPr>
          <w:ilvl w:val="1"/>
          <w:numId w:val="11"/>
        </w:numPr>
        <w:spacing w:line="360" w:lineRule="auto"/>
        <w:ind w:left="415" w:leftChars="0" w:hanging="415" w:hangingChars="173"/>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若合同签订之日起半年内出现一次考核得分低于80分的为不达标，招标人可以单方解除</w:t>
      </w:r>
      <w:r>
        <w:rPr>
          <w:rFonts w:hint="eastAsia" w:ascii="宋体" w:hAnsi="宋体" w:cs="宋体"/>
          <w:color w:val="auto"/>
          <w:sz w:val="24"/>
          <w:szCs w:val="24"/>
          <w:highlight w:val="none"/>
          <w:lang w:eastAsia="zh-CN"/>
        </w:rPr>
        <w:t>合同</w:t>
      </w:r>
      <w:r>
        <w:rPr>
          <w:rFonts w:hint="eastAsia" w:ascii="宋体" w:hAnsi="宋体" w:eastAsia="宋体" w:cs="宋体"/>
          <w:color w:val="auto"/>
          <w:sz w:val="24"/>
          <w:szCs w:val="24"/>
          <w:highlight w:val="none"/>
        </w:rPr>
        <w:t>，并</w:t>
      </w:r>
      <w:r>
        <w:rPr>
          <w:rFonts w:hint="eastAsia" w:ascii="宋体" w:hAnsi="宋体" w:cs="宋体"/>
          <w:color w:val="auto"/>
          <w:sz w:val="24"/>
          <w:szCs w:val="24"/>
          <w:highlight w:val="none"/>
          <w:lang w:eastAsia="zh-CN"/>
        </w:rPr>
        <w:t>不予退还</w:t>
      </w:r>
      <w:r>
        <w:rPr>
          <w:rFonts w:hint="eastAsia" w:ascii="宋体" w:hAnsi="宋体" w:eastAsia="宋体" w:cs="宋体"/>
          <w:color w:val="auto"/>
          <w:sz w:val="24"/>
          <w:szCs w:val="24"/>
          <w:highlight w:val="none"/>
        </w:rPr>
        <w:t>中标人</w:t>
      </w:r>
      <w:r>
        <w:rPr>
          <w:rFonts w:hint="eastAsia" w:ascii="宋体" w:hAnsi="宋体" w:cs="宋体"/>
          <w:color w:val="auto"/>
          <w:sz w:val="24"/>
          <w:szCs w:val="24"/>
          <w:highlight w:val="none"/>
          <w:lang w:eastAsia="zh-CN"/>
        </w:rPr>
        <w:t>合同履约保证金</w:t>
      </w:r>
      <w:r>
        <w:rPr>
          <w:rFonts w:hint="eastAsia" w:ascii="宋体" w:hAnsi="宋体" w:eastAsia="宋体" w:cs="宋体"/>
          <w:color w:val="auto"/>
          <w:sz w:val="24"/>
          <w:szCs w:val="24"/>
          <w:highlight w:val="none"/>
        </w:rPr>
        <w:t>和不退回已交的服务费，且中标人投入建设安装的一切设施设备无偿归招标人所有。</w:t>
      </w:r>
    </w:p>
    <w:p w14:paraId="7C2CEF7B">
      <w:pPr>
        <w:pStyle w:val="31"/>
        <w:numPr>
          <w:ilvl w:val="1"/>
          <w:numId w:val="11"/>
        </w:numPr>
        <w:spacing w:line="360" w:lineRule="auto"/>
        <w:ind w:left="415" w:leftChars="0" w:hanging="415" w:hangingChars="173"/>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若当年有2个或以上季度考核得分低于80分，</w:t>
      </w:r>
      <w:r>
        <w:rPr>
          <w:rFonts w:hint="eastAsia" w:ascii="宋体" w:hAnsi="宋体" w:cs="宋体"/>
          <w:color w:val="auto"/>
          <w:sz w:val="24"/>
          <w:szCs w:val="24"/>
          <w:highlight w:val="none"/>
          <w:lang w:eastAsia="zh-CN"/>
        </w:rPr>
        <w:t>招标人可以单方解除合同</w:t>
      </w:r>
      <w:r>
        <w:rPr>
          <w:rFonts w:hint="eastAsia" w:ascii="宋体" w:hAnsi="宋体" w:eastAsia="宋体" w:cs="宋体"/>
          <w:color w:val="auto"/>
          <w:sz w:val="24"/>
          <w:szCs w:val="24"/>
          <w:highlight w:val="none"/>
        </w:rPr>
        <w:t>，并</w:t>
      </w:r>
      <w:r>
        <w:rPr>
          <w:rFonts w:hint="eastAsia" w:ascii="宋体" w:hAnsi="宋体" w:cs="宋体"/>
          <w:color w:val="auto"/>
          <w:sz w:val="24"/>
          <w:szCs w:val="24"/>
          <w:highlight w:val="none"/>
          <w:lang w:eastAsia="zh-CN"/>
        </w:rPr>
        <w:t>不予退还</w:t>
      </w:r>
      <w:r>
        <w:rPr>
          <w:rFonts w:hint="eastAsia" w:ascii="宋体" w:hAnsi="宋体" w:eastAsia="宋体" w:cs="宋体"/>
          <w:color w:val="auto"/>
          <w:sz w:val="24"/>
          <w:szCs w:val="24"/>
          <w:highlight w:val="none"/>
        </w:rPr>
        <w:t>中标人</w:t>
      </w:r>
      <w:r>
        <w:rPr>
          <w:rFonts w:hint="eastAsia" w:ascii="宋体" w:hAnsi="宋体" w:cs="宋体"/>
          <w:color w:val="auto"/>
          <w:sz w:val="24"/>
          <w:szCs w:val="24"/>
          <w:highlight w:val="none"/>
          <w:lang w:eastAsia="zh-CN"/>
        </w:rPr>
        <w:t>合同履约保证金</w:t>
      </w:r>
      <w:r>
        <w:rPr>
          <w:rFonts w:hint="eastAsia" w:ascii="宋体" w:hAnsi="宋体" w:eastAsia="宋体" w:cs="宋体"/>
          <w:color w:val="auto"/>
          <w:sz w:val="24"/>
          <w:szCs w:val="24"/>
          <w:highlight w:val="none"/>
        </w:rPr>
        <w:t>和不退回已交的服务费，且中标人投入建设安装的一切设施设备无偿归招标人所有。</w:t>
      </w:r>
    </w:p>
    <w:p w14:paraId="529DBF66">
      <w:pPr>
        <w:pStyle w:val="31"/>
        <w:numPr>
          <w:ilvl w:val="1"/>
          <w:numId w:val="11"/>
        </w:numPr>
        <w:spacing w:line="360" w:lineRule="auto"/>
        <w:ind w:left="415" w:leftChars="0" w:hanging="415" w:hangingChars="173"/>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招标人有权监督中标人依据双方约定事项进行日常管理：若因服务问题工作人员工作不积极而导致管理不善致道路因乱停放的现象多，产生堵塞而被村民投诉或拍照影相不符合停车要求的，且经由村干部核实为有效投诉的，将由招标人对中标人进行金额惩罚，惩罚金额200元或以上（按月不超3次方可实行）最终解释权归招标人。</w:t>
      </w:r>
    </w:p>
    <w:p w14:paraId="222F0760">
      <w:pPr>
        <w:pStyle w:val="31"/>
        <w:numPr>
          <w:ilvl w:val="1"/>
          <w:numId w:val="11"/>
        </w:numPr>
        <w:spacing w:line="360" w:lineRule="auto"/>
        <w:ind w:left="415" w:leftChars="0" w:hanging="415" w:hangingChars="173"/>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招标人可对中标人进行约谈，要求加强巡查整改，如因中标人工作人员态度不好导致处事不公而引发纠纷案或投诉案多的，招标人有权要求中标人在限期内整改并更换人员，如中标人限期拒不整改的，视为中标人根本违约，招标人有权单方面解除合同，</w:t>
      </w:r>
      <w:r>
        <w:rPr>
          <w:rFonts w:hint="eastAsia" w:ascii="宋体" w:hAnsi="宋体" w:cs="宋体"/>
          <w:color w:val="auto"/>
          <w:sz w:val="24"/>
          <w:szCs w:val="24"/>
          <w:highlight w:val="none"/>
          <w:lang w:eastAsia="zh-CN"/>
        </w:rPr>
        <w:t>不予退还合同履约保证金</w:t>
      </w:r>
      <w:r>
        <w:rPr>
          <w:rFonts w:hint="eastAsia" w:ascii="宋体" w:hAnsi="宋体" w:eastAsia="宋体" w:cs="宋体"/>
          <w:color w:val="auto"/>
          <w:sz w:val="24"/>
          <w:szCs w:val="24"/>
          <w:highlight w:val="none"/>
        </w:rPr>
        <w:t>和不退回已交的服务费，中标人投入建设安装的一切设施设备无偿归招标人所有。</w:t>
      </w:r>
    </w:p>
    <w:p w14:paraId="054C9BA4">
      <w:pPr>
        <w:pStyle w:val="31"/>
        <w:numPr>
          <w:ilvl w:val="1"/>
          <w:numId w:val="11"/>
        </w:numPr>
        <w:spacing w:line="360" w:lineRule="auto"/>
        <w:ind w:left="415" w:leftChars="0" w:hanging="415" w:hangingChars="173"/>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招标人有权监督中标人依据双方约定事项进行日常管理</w:t>
      </w:r>
      <w:r>
        <w:rPr>
          <w:rStyle w:val="38"/>
          <w:rFonts w:hint="eastAsia" w:ascii="宋体" w:hAnsi="宋体" w:eastAsia="宋体" w:cs="宋体"/>
          <w:b w:val="0"/>
          <w:color w:val="auto"/>
          <w:sz w:val="24"/>
          <w:szCs w:val="24"/>
          <w:highlight w:val="none"/>
        </w:rPr>
        <w:t>。</w:t>
      </w:r>
    </w:p>
    <w:p w14:paraId="464D4119">
      <w:pPr>
        <w:spacing w:line="460" w:lineRule="exact"/>
        <w:ind w:left="417" w:leftChars="0" w:hanging="417" w:hangingChars="173"/>
        <w:jc w:val="center"/>
        <w:outlineLvl w:val="1"/>
        <w:rPr>
          <w:rFonts w:hint="eastAsia" w:ascii="宋体" w:hAnsi="宋体" w:eastAsia="宋体" w:cs="宋体"/>
          <w:b/>
          <w:color w:val="auto"/>
          <w:sz w:val="24"/>
          <w:szCs w:val="24"/>
          <w:highlight w:val="none"/>
          <w:lang w:eastAsia="zh-CN"/>
        </w:rPr>
      </w:pPr>
    </w:p>
    <w:p w14:paraId="3AEBD20D">
      <w:pPr>
        <w:spacing w:line="360" w:lineRule="auto"/>
        <w:ind w:left="556" w:leftChars="0" w:hanging="556" w:hangingChars="173"/>
        <w:jc w:val="center"/>
        <w:outlineLvl w:val="1"/>
        <w:rPr>
          <w:rFonts w:hint="eastAsia" w:ascii="宋体" w:hAnsi="宋体" w:eastAsia="宋体" w:cs="宋体"/>
          <w:b/>
          <w:color w:val="auto"/>
          <w:sz w:val="32"/>
          <w:szCs w:val="32"/>
          <w:highlight w:val="none"/>
          <w:lang w:eastAsia="zh-CN"/>
        </w:rPr>
      </w:pPr>
      <w:bookmarkStart w:id="30" w:name="_Toc10156"/>
      <w:r>
        <w:rPr>
          <w:rFonts w:hint="eastAsia" w:ascii="宋体" w:hAnsi="宋体" w:eastAsia="宋体" w:cs="宋体"/>
          <w:b/>
          <w:color w:val="auto"/>
          <w:sz w:val="32"/>
          <w:szCs w:val="32"/>
          <w:highlight w:val="none"/>
          <w:lang w:eastAsia="zh-CN"/>
        </w:rPr>
        <w:t>三、项目商务要求</w:t>
      </w:r>
      <w:bookmarkEnd w:id="30"/>
    </w:p>
    <w:p w14:paraId="3BBF66B5">
      <w:pPr>
        <w:pStyle w:val="31"/>
        <w:numPr>
          <w:ilvl w:val="0"/>
          <w:numId w:val="12"/>
        </w:numPr>
        <w:spacing w:line="360" w:lineRule="auto"/>
        <w:ind w:left="624" w:leftChars="0" w:hanging="624" w:firstLineChars="0"/>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★基本商务要求一览表</w:t>
      </w:r>
    </w:p>
    <w:tbl>
      <w:tblPr>
        <w:tblStyle w:val="20"/>
        <w:tblW w:w="9318" w:type="dxa"/>
        <w:tblInd w:w="-6"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0" w:type="dxa"/>
          <w:bottom w:w="0" w:type="dxa"/>
          <w:right w:w="0" w:type="dxa"/>
        </w:tblCellMar>
      </w:tblPr>
      <w:tblGrid>
        <w:gridCol w:w="745"/>
        <w:gridCol w:w="2050"/>
        <w:gridCol w:w="6523"/>
      </w:tblGrid>
      <w:tr w14:paraId="7B14576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564" w:hRule="atLeast"/>
        </w:trPr>
        <w:tc>
          <w:tcPr>
            <w:tcW w:w="745" w:type="dxa"/>
            <w:tcBorders>
              <w:tl2br w:val="nil"/>
              <w:tr2bl w:val="nil"/>
            </w:tcBorders>
            <w:noWrap w:val="0"/>
            <w:vAlign w:val="center"/>
          </w:tcPr>
          <w:p w14:paraId="7F7F0620">
            <w:pPr>
              <w:keepNext w:val="0"/>
              <w:keepLines w:val="0"/>
              <w:pageBreakBefore w:val="0"/>
              <w:widowControl w:val="0"/>
              <w:kinsoku/>
              <w:wordWrap w:val="0"/>
              <w:overflowPunct/>
              <w:topLinePunct w:val="0"/>
              <w:autoSpaceDE/>
              <w:autoSpaceDN/>
              <w:bidi w:val="0"/>
              <w:adjustRightInd/>
              <w:snapToGrid/>
              <w:ind w:left="417" w:leftChars="0" w:hanging="417" w:hangingChars="173"/>
              <w:jc w:val="center"/>
              <w:textAlignment w:val="auto"/>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序号</w:t>
            </w:r>
          </w:p>
        </w:tc>
        <w:tc>
          <w:tcPr>
            <w:tcW w:w="2050" w:type="dxa"/>
            <w:tcBorders>
              <w:tl2br w:val="nil"/>
              <w:tr2bl w:val="nil"/>
            </w:tcBorders>
            <w:noWrap w:val="0"/>
            <w:vAlign w:val="center"/>
          </w:tcPr>
          <w:p w14:paraId="2F2319ED">
            <w:pPr>
              <w:keepNext w:val="0"/>
              <w:keepLines w:val="0"/>
              <w:pageBreakBefore w:val="0"/>
              <w:widowControl w:val="0"/>
              <w:kinsoku/>
              <w:wordWrap w:val="0"/>
              <w:overflowPunct/>
              <w:topLinePunct w:val="0"/>
              <w:autoSpaceDE/>
              <w:autoSpaceDN/>
              <w:bidi w:val="0"/>
              <w:adjustRightInd/>
              <w:snapToGrid/>
              <w:ind w:left="417" w:leftChars="0" w:hanging="417" w:hangingChars="173"/>
              <w:jc w:val="center"/>
              <w:textAlignment w:val="auto"/>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商务条款</w:t>
            </w:r>
          </w:p>
        </w:tc>
        <w:tc>
          <w:tcPr>
            <w:tcW w:w="6523" w:type="dxa"/>
            <w:tcBorders>
              <w:tl2br w:val="nil"/>
              <w:tr2bl w:val="nil"/>
            </w:tcBorders>
            <w:noWrap w:val="0"/>
            <w:vAlign w:val="center"/>
          </w:tcPr>
          <w:p w14:paraId="1EDE7E1B">
            <w:pPr>
              <w:keepNext w:val="0"/>
              <w:keepLines w:val="0"/>
              <w:pageBreakBefore w:val="0"/>
              <w:widowControl w:val="0"/>
              <w:kinsoku/>
              <w:wordWrap w:val="0"/>
              <w:overflowPunct/>
              <w:topLinePunct w:val="0"/>
              <w:autoSpaceDE/>
              <w:autoSpaceDN/>
              <w:bidi w:val="0"/>
              <w:adjustRightInd/>
              <w:snapToGrid/>
              <w:ind w:left="417" w:leftChars="0" w:hanging="417" w:hangingChars="173"/>
              <w:jc w:val="center"/>
              <w:textAlignment w:val="auto"/>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要求</w:t>
            </w:r>
          </w:p>
        </w:tc>
      </w:tr>
      <w:tr w14:paraId="53BACBD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793" w:hRule="atLeast"/>
        </w:trPr>
        <w:tc>
          <w:tcPr>
            <w:tcW w:w="745" w:type="dxa"/>
            <w:tcBorders>
              <w:tl2br w:val="nil"/>
              <w:tr2bl w:val="nil"/>
            </w:tcBorders>
            <w:noWrap w:val="0"/>
            <w:vAlign w:val="center"/>
          </w:tcPr>
          <w:p w14:paraId="2349CC4F">
            <w:pPr>
              <w:keepNext w:val="0"/>
              <w:keepLines w:val="0"/>
              <w:pageBreakBefore w:val="0"/>
              <w:widowControl w:val="0"/>
              <w:numPr>
                <w:ilvl w:val="0"/>
                <w:numId w:val="13"/>
              </w:numPr>
              <w:kinsoku/>
              <w:wordWrap w:val="0"/>
              <w:overflowPunct/>
              <w:topLinePunct w:val="0"/>
              <w:autoSpaceDE/>
              <w:autoSpaceDN/>
              <w:bidi w:val="0"/>
              <w:adjustRightInd/>
              <w:snapToGrid/>
              <w:ind w:left="425" w:leftChars="0" w:hanging="425" w:firstLineChars="0"/>
              <w:jc w:val="right"/>
              <w:textAlignment w:val="auto"/>
              <w:rPr>
                <w:rFonts w:hint="eastAsia" w:ascii="宋体" w:hAnsi="宋体" w:eastAsia="宋体" w:cs="宋体"/>
                <w:sz w:val="24"/>
                <w:szCs w:val="24"/>
                <w:highlight w:val="none"/>
              </w:rPr>
            </w:pPr>
          </w:p>
        </w:tc>
        <w:tc>
          <w:tcPr>
            <w:tcW w:w="2050" w:type="dxa"/>
            <w:tcBorders>
              <w:tl2br w:val="nil"/>
              <w:tr2bl w:val="nil"/>
            </w:tcBorders>
            <w:noWrap w:val="0"/>
            <w:vAlign w:val="center"/>
          </w:tcPr>
          <w:p w14:paraId="036BE4E2">
            <w:pPr>
              <w:keepNext w:val="0"/>
              <w:keepLines w:val="0"/>
              <w:pageBreakBefore w:val="0"/>
              <w:widowControl w:val="0"/>
              <w:kinsoku/>
              <w:wordWrap w:val="0"/>
              <w:overflowPunct/>
              <w:topLinePunct w:val="0"/>
              <w:autoSpaceDE/>
              <w:autoSpaceDN/>
              <w:bidi w:val="0"/>
              <w:adjustRightInd/>
              <w:snapToGrid/>
              <w:ind w:left="415" w:leftChars="0" w:hanging="415" w:hangingChars="173"/>
              <w:jc w:val="center"/>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最低限价</w:t>
            </w:r>
          </w:p>
        </w:tc>
        <w:tc>
          <w:tcPr>
            <w:tcW w:w="6523" w:type="dxa"/>
            <w:tcBorders>
              <w:tl2br w:val="nil"/>
              <w:tr2bl w:val="nil"/>
            </w:tcBorders>
            <w:noWrap w:val="0"/>
            <w:vAlign w:val="center"/>
          </w:tcPr>
          <w:p w14:paraId="59E14371">
            <w:pPr>
              <w:keepNext w:val="0"/>
              <w:keepLines w:val="0"/>
              <w:pageBreakBefore w:val="0"/>
              <w:widowControl w:val="0"/>
              <w:kinsoku/>
              <w:wordWrap w:val="0"/>
              <w:overflowPunct/>
              <w:topLinePunct w:val="0"/>
              <w:autoSpaceDE/>
              <w:autoSpaceDN/>
              <w:bidi w:val="0"/>
              <w:adjustRightInd/>
              <w:snapToGrid/>
              <w:ind w:left="14" w:leftChars="0" w:hanging="14" w:hangingChars="6"/>
              <w:jc w:val="both"/>
              <w:textAlignment w:val="auto"/>
              <w:rPr>
                <w:rFonts w:hint="eastAsia" w:ascii="宋体" w:hAnsi="宋体" w:eastAsia="宋体" w:cs="宋体"/>
                <w:sz w:val="24"/>
                <w:szCs w:val="24"/>
                <w:highlight w:val="none"/>
                <w:lang w:eastAsia="zh-CN"/>
              </w:rPr>
            </w:pPr>
            <w:r>
              <w:rPr>
                <w:rFonts w:hint="eastAsia" w:ascii="宋体" w:hAnsi="宋体" w:cs="宋体"/>
                <w:sz w:val="24"/>
                <w:szCs w:val="24"/>
                <w:highlight w:val="none"/>
                <w:lang w:val="en-US" w:eastAsia="zh-CN"/>
              </w:rPr>
              <w:t>首年人民币150,000.00元/年（不含税），</w:t>
            </w:r>
            <w:r>
              <w:rPr>
                <w:rFonts w:hint="eastAsia" w:ascii="宋体" w:hAnsi="宋体" w:cs="宋体"/>
                <w:sz w:val="24"/>
                <w:szCs w:val="24"/>
                <w:highlight w:val="none"/>
                <w:lang w:eastAsia="zh-CN"/>
              </w:rPr>
              <w:t>一切税费由中标人另行承担</w:t>
            </w:r>
            <w:r>
              <w:rPr>
                <w:rFonts w:hint="eastAsia" w:ascii="宋体" w:hAnsi="宋体" w:cs="宋体"/>
                <w:sz w:val="24"/>
                <w:szCs w:val="24"/>
                <w:highlight w:val="none"/>
                <w:lang w:val="en-US" w:eastAsia="zh-CN"/>
              </w:rPr>
              <w:t>。</w:t>
            </w:r>
          </w:p>
        </w:tc>
      </w:tr>
      <w:tr w14:paraId="7F95FFE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412" w:hRule="atLeast"/>
        </w:trPr>
        <w:tc>
          <w:tcPr>
            <w:tcW w:w="745" w:type="dxa"/>
            <w:tcBorders>
              <w:tl2br w:val="nil"/>
              <w:tr2bl w:val="nil"/>
            </w:tcBorders>
            <w:noWrap w:val="0"/>
            <w:vAlign w:val="center"/>
          </w:tcPr>
          <w:p w14:paraId="204E1B28">
            <w:pPr>
              <w:keepNext w:val="0"/>
              <w:keepLines w:val="0"/>
              <w:pageBreakBefore w:val="0"/>
              <w:widowControl w:val="0"/>
              <w:numPr>
                <w:ilvl w:val="0"/>
                <w:numId w:val="13"/>
              </w:numPr>
              <w:kinsoku/>
              <w:wordWrap w:val="0"/>
              <w:overflowPunct/>
              <w:topLinePunct w:val="0"/>
              <w:autoSpaceDE/>
              <w:autoSpaceDN/>
              <w:bidi w:val="0"/>
              <w:adjustRightInd/>
              <w:snapToGrid/>
              <w:ind w:left="425" w:leftChars="0" w:hanging="425" w:firstLineChars="0"/>
              <w:jc w:val="right"/>
              <w:textAlignment w:val="auto"/>
              <w:rPr>
                <w:rFonts w:hint="eastAsia" w:ascii="宋体" w:hAnsi="宋体" w:eastAsia="宋体" w:cs="宋体"/>
                <w:sz w:val="24"/>
                <w:szCs w:val="24"/>
                <w:highlight w:val="none"/>
              </w:rPr>
            </w:pPr>
          </w:p>
        </w:tc>
        <w:tc>
          <w:tcPr>
            <w:tcW w:w="2050" w:type="dxa"/>
            <w:tcBorders>
              <w:tl2br w:val="nil"/>
              <w:tr2bl w:val="nil"/>
            </w:tcBorders>
            <w:noWrap w:val="0"/>
            <w:vAlign w:val="center"/>
          </w:tcPr>
          <w:p w14:paraId="6F2E92E2">
            <w:pPr>
              <w:keepNext w:val="0"/>
              <w:keepLines w:val="0"/>
              <w:pageBreakBefore w:val="0"/>
              <w:widowControl w:val="0"/>
              <w:kinsoku/>
              <w:wordWrap w:val="0"/>
              <w:overflowPunct/>
              <w:topLinePunct w:val="0"/>
              <w:autoSpaceDE/>
              <w:autoSpaceDN/>
              <w:bidi w:val="0"/>
              <w:adjustRightInd/>
              <w:snapToGrid/>
              <w:ind w:left="415" w:leftChars="0" w:hanging="415" w:hangingChars="173"/>
              <w:jc w:val="center"/>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报价要求</w:t>
            </w:r>
          </w:p>
        </w:tc>
        <w:tc>
          <w:tcPr>
            <w:tcW w:w="6523" w:type="dxa"/>
            <w:tcBorders>
              <w:tl2br w:val="nil"/>
              <w:tr2bl w:val="nil"/>
            </w:tcBorders>
            <w:noWrap w:val="0"/>
            <w:vAlign w:val="center"/>
          </w:tcPr>
          <w:p w14:paraId="05BBA577">
            <w:pPr>
              <w:keepNext w:val="0"/>
              <w:keepLines w:val="0"/>
              <w:pageBreakBefore w:val="0"/>
              <w:widowControl w:val="0"/>
              <w:numPr>
                <w:ilvl w:val="0"/>
                <w:numId w:val="0"/>
              </w:numPr>
              <w:kinsoku/>
              <w:wordWrap w:val="0"/>
              <w:overflowPunct/>
              <w:topLinePunct w:val="0"/>
              <w:autoSpaceDE/>
              <w:autoSpaceDN/>
              <w:bidi w:val="0"/>
              <w:adjustRightInd/>
              <w:snapToGrid/>
              <w:ind w:left="0" w:leftChars="0" w:firstLine="0" w:firstLineChars="0"/>
              <w:jc w:val="left"/>
              <w:textAlignment w:val="auto"/>
              <w:rPr>
                <w:rFonts w:hint="eastAsia" w:ascii="宋体" w:hAnsi="宋体" w:eastAsia="宋体" w:cs="宋体"/>
                <w:sz w:val="24"/>
                <w:szCs w:val="24"/>
                <w:highlight w:val="none"/>
                <w:lang w:eastAsia="zh-CN"/>
              </w:rPr>
            </w:pPr>
            <w:r>
              <w:rPr>
                <w:rFonts w:hint="default" w:ascii="宋体" w:hAnsi="宋体" w:eastAsia="宋体" w:cs="宋体"/>
                <w:kern w:val="2"/>
                <w:sz w:val="24"/>
                <w:szCs w:val="24"/>
                <w:highlight w:val="none"/>
                <w:lang w:val="en-US" w:eastAsia="zh-CN" w:bidi="ar-SA"/>
              </w:rPr>
              <w:t>1.</w:t>
            </w:r>
            <w:r>
              <w:rPr>
                <w:rFonts w:hint="eastAsia" w:ascii="宋体" w:hAnsi="宋体" w:cs="宋体"/>
                <w:kern w:val="2"/>
                <w:sz w:val="24"/>
                <w:szCs w:val="24"/>
                <w:highlight w:val="none"/>
                <w:lang w:val="en-US" w:eastAsia="zh-CN" w:bidi="ar-SA"/>
              </w:rPr>
              <w:t>投标人的投标</w:t>
            </w:r>
            <w:r>
              <w:rPr>
                <w:rFonts w:hint="eastAsia" w:ascii="宋体" w:hAnsi="宋体" w:eastAsia="宋体" w:cs="宋体"/>
                <w:sz w:val="24"/>
                <w:szCs w:val="24"/>
                <w:highlight w:val="none"/>
              </w:rPr>
              <w:t>报价不得低于本项目的最低限价，否则为无效报价。</w:t>
            </w:r>
          </w:p>
          <w:p w14:paraId="1F519E11">
            <w:pPr>
              <w:keepNext w:val="0"/>
              <w:keepLines w:val="0"/>
              <w:pageBreakBefore w:val="0"/>
              <w:widowControl w:val="0"/>
              <w:numPr>
                <w:ilvl w:val="0"/>
                <w:numId w:val="0"/>
              </w:numPr>
              <w:kinsoku/>
              <w:wordWrap w:val="0"/>
              <w:overflowPunct/>
              <w:topLinePunct w:val="0"/>
              <w:autoSpaceDE/>
              <w:autoSpaceDN/>
              <w:bidi w:val="0"/>
              <w:adjustRightInd/>
              <w:snapToGrid/>
              <w:ind w:left="0" w:leftChars="0" w:firstLine="0" w:firstLineChars="0"/>
              <w:jc w:val="left"/>
              <w:textAlignment w:val="auto"/>
              <w:rPr>
                <w:rFonts w:hint="eastAsia" w:ascii="宋体" w:hAnsi="宋体" w:eastAsia="宋体" w:cs="宋体"/>
                <w:sz w:val="24"/>
                <w:szCs w:val="24"/>
                <w:highlight w:val="none"/>
              </w:rPr>
            </w:pPr>
            <w:r>
              <w:rPr>
                <w:rFonts w:hint="default" w:ascii="宋体" w:hAnsi="宋体" w:eastAsia="宋体" w:cs="宋体"/>
                <w:kern w:val="2"/>
                <w:sz w:val="24"/>
                <w:szCs w:val="24"/>
                <w:highlight w:val="none"/>
                <w:lang w:val="en-US" w:eastAsia="zh-CN" w:bidi="ar-SA"/>
              </w:rPr>
              <w:t>2.</w:t>
            </w:r>
            <w:r>
              <w:rPr>
                <w:rFonts w:hint="eastAsia" w:ascii="宋体" w:hAnsi="宋体" w:eastAsia="宋体" w:cs="宋体"/>
                <w:sz w:val="24"/>
                <w:szCs w:val="24"/>
                <w:highlight w:val="none"/>
              </w:rPr>
              <w:t>本项目报价方式为固定总价包干。投标报价为</w:t>
            </w:r>
            <w:r>
              <w:rPr>
                <w:rFonts w:hint="eastAsia" w:ascii="宋体" w:hAnsi="宋体" w:eastAsia="宋体" w:cs="宋体"/>
                <w:sz w:val="24"/>
                <w:szCs w:val="24"/>
                <w:highlight w:val="none"/>
                <w:lang w:val="en-US" w:eastAsia="zh-CN"/>
              </w:rPr>
              <w:t>中标人</w:t>
            </w:r>
            <w:r>
              <w:rPr>
                <w:rFonts w:hint="eastAsia" w:ascii="宋体" w:hAnsi="宋体" w:eastAsia="宋体" w:cs="宋体"/>
                <w:sz w:val="24"/>
                <w:szCs w:val="24"/>
                <w:highlight w:val="none"/>
              </w:rPr>
              <w:t>支付给</w:t>
            </w:r>
            <w:r>
              <w:rPr>
                <w:rFonts w:hint="eastAsia" w:ascii="宋体" w:hAnsi="宋体" w:eastAsia="宋体" w:cs="宋体"/>
                <w:sz w:val="24"/>
                <w:szCs w:val="24"/>
                <w:highlight w:val="none"/>
                <w:lang w:val="en-US" w:eastAsia="zh-CN"/>
              </w:rPr>
              <w:t>招标人</w:t>
            </w:r>
            <w:r>
              <w:rPr>
                <w:rFonts w:hint="eastAsia" w:ascii="宋体" w:hAnsi="宋体" w:eastAsia="宋体" w:cs="宋体"/>
                <w:sz w:val="24"/>
                <w:szCs w:val="24"/>
                <w:highlight w:val="none"/>
              </w:rPr>
              <w:t>的</w:t>
            </w:r>
            <w:r>
              <w:rPr>
                <w:rFonts w:hint="eastAsia" w:ascii="宋体" w:hAnsi="宋体" w:eastAsia="宋体" w:cs="宋体"/>
                <w:sz w:val="24"/>
                <w:szCs w:val="24"/>
                <w:highlight w:val="none"/>
                <w:lang w:val="en-US" w:eastAsia="zh-CN"/>
              </w:rPr>
              <w:t>服务</w:t>
            </w:r>
            <w:r>
              <w:rPr>
                <w:rFonts w:hint="eastAsia" w:ascii="宋体" w:hAnsi="宋体" w:eastAsia="宋体" w:cs="宋体"/>
                <w:sz w:val="24"/>
                <w:szCs w:val="24"/>
                <w:highlight w:val="none"/>
              </w:rPr>
              <w:t>费用</w:t>
            </w:r>
            <w:r>
              <w:rPr>
                <w:rFonts w:hint="eastAsia" w:ascii="宋体" w:hAnsi="宋体" w:cs="宋体"/>
                <w:sz w:val="24"/>
                <w:szCs w:val="24"/>
                <w:highlight w:val="none"/>
                <w:lang w:eastAsia="zh-CN"/>
              </w:rPr>
              <w:t>，</w:t>
            </w:r>
            <w:r>
              <w:rPr>
                <w:rFonts w:hint="eastAsia" w:ascii="宋体" w:hAnsi="宋体" w:cs="宋体"/>
                <w:sz w:val="24"/>
                <w:szCs w:val="24"/>
                <w:highlight w:val="none"/>
                <w:lang w:val="en-US" w:eastAsia="zh-CN"/>
              </w:rPr>
              <w:t>其中</w:t>
            </w:r>
            <w:r>
              <w:rPr>
                <w:rFonts w:hint="eastAsia" w:ascii="宋体" w:hAnsi="宋体" w:eastAsia="宋体" w:cs="宋体"/>
                <w:sz w:val="24"/>
                <w:szCs w:val="24"/>
                <w:highlight w:val="none"/>
              </w:rPr>
              <w:t>包括但不限于以下</w:t>
            </w:r>
            <w:r>
              <w:rPr>
                <w:rFonts w:hint="eastAsia" w:ascii="宋体" w:hAnsi="宋体" w:cs="宋体"/>
                <w:sz w:val="24"/>
                <w:szCs w:val="24"/>
                <w:highlight w:val="none"/>
                <w:lang w:eastAsia="zh-CN"/>
              </w:rPr>
              <w:t>：</w:t>
            </w:r>
            <w:r>
              <w:rPr>
                <w:rFonts w:hint="eastAsia" w:ascii="宋体" w:hAnsi="宋体" w:eastAsia="宋体" w:cs="宋体"/>
                <w:sz w:val="24"/>
                <w:szCs w:val="24"/>
                <w:highlight w:val="none"/>
              </w:rPr>
              <w:t>（1）工人工资</w:t>
            </w:r>
            <w:r>
              <w:rPr>
                <w:rFonts w:hint="eastAsia" w:ascii="宋体" w:hAnsi="宋体" w:cs="宋体"/>
                <w:sz w:val="24"/>
                <w:szCs w:val="24"/>
                <w:highlight w:val="none"/>
                <w:lang w:eastAsia="zh-CN"/>
              </w:rPr>
              <w:t>（</w:t>
            </w:r>
            <w:r>
              <w:rPr>
                <w:rFonts w:hint="eastAsia" w:ascii="宋体" w:hAnsi="宋体" w:eastAsia="宋体" w:cs="宋体"/>
                <w:sz w:val="24"/>
                <w:szCs w:val="24"/>
                <w:highlight w:val="none"/>
              </w:rPr>
              <w:t>福利人工费、劳工意外保险、工伤、医疗、</w:t>
            </w:r>
            <w:r>
              <w:rPr>
                <w:rFonts w:hint="eastAsia" w:ascii="宋体" w:hAnsi="宋体" w:eastAsia="宋体" w:cs="宋体"/>
                <w:sz w:val="24"/>
                <w:szCs w:val="24"/>
                <w:highlight w:val="none"/>
                <w:lang w:eastAsia="zh-CN"/>
              </w:rPr>
              <w:t>失业</w:t>
            </w:r>
            <w:r>
              <w:rPr>
                <w:rFonts w:hint="eastAsia" w:ascii="宋体" w:hAnsi="宋体" w:eastAsia="宋体" w:cs="宋体"/>
                <w:sz w:val="24"/>
                <w:szCs w:val="24"/>
                <w:highlight w:val="none"/>
              </w:rPr>
              <w:t>、养老保险、其他福利待遇、特殊人员体检费</w:t>
            </w:r>
            <w:r>
              <w:rPr>
                <w:rFonts w:hint="eastAsia" w:ascii="宋体" w:hAnsi="宋体" w:cs="宋体"/>
                <w:sz w:val="24"/>
                <w:szCs w:val="24"/>
                <w:highlight w:val="none"/>
                <w:lang w:val="en-US" w:eastAsia="zh-CN"/>
              </w:rPr>
              <w:t>等</w:t>
            </w:r>
            <w:r>
              <w:rPr>
                <w:rFonts w:hint="eastAsia" w:ascii="宋体" w:hAnsi="宋体" w:cs="宋体"/>
                <w:sz w:val="24"/>
                <w:szCs w:val="24"/>
                <w:highlight w:val="none"/>
                <w:lang w:eastAsia="zh-CN"/>
              </w:rPr>
              <w:t>）</w:t>
            </w:r>
            <w:r>
              <w:rPr>
                <w:rFonts w:hint="eastAsia" w:ascii="宋体" w:hAnsi="宋体" w:eastAsia="宋体" w:cs="宋体"/>
                <w:sz w:val="24"/>
                <w:szCs w:val="24"/>
                <w:highlight w:val="none"/>
              </w:rPr>
              <w:t>；（2）劳保用品、服装费</w:t>
            </w:r>
            <w:r>
              <w:rPr>
                <w:rFonts w:hint="eastAsia" w:ascii="宋体" w:hAnsi="宋体" w:cs="宋体"/>
                <w:sz w:val="24"/>
                <w:szCs w:val="24"/>
                <w:highlight w:val="none"/>
                <w:lang w:eastAsia="zh-CN"/>
              </w:rPr>
              <w:t>（</w:t>
            </w:r>
            <w:r>
              <w:rPr>
                <w:rFonts w:hint="eastAsia" w:ascii="宋体" w:hAnsi="宋体" w:cs="宋体"/>
                <w:sz w:val="24"/>
                <w:szCs w:val="24"/>
                <w:highlight w:val="none"/>
                <w:lang w:val="en-US" w:eastAsia="zh-CN"/>
              </w:rPr>
              <w:t>与本项目相关的</w:t>
            </w:r>
            <w:r>
              <w:rPr>
                <w:rFonts w:hint="eastAsia" w:ascii="宋体" w:hAnsi="宋体" w:eastAsia="宋体" w:cs="宋体"/>
                <w:sz w:val="24"/>
                <w:szCs w:val="24"/>
                <w:highlight w:val="none"/>
              </w:rPr>
              <w:t>一切劳保用品、服装费用</w:t>
            </w:r>
            <w:r>
              <w:rPr>
                <w:rFonts w:hint="eastAsia" w:ascii="宋体" w:hAnsi="宋体" w:cs="宋体"/>
                <w:sz w:val="24"/>
                <w:szCs w:val="24"/>
                <w:highlight w:val="none"/>
                <w:lang w:val="en-US" w:eastAsia="zh-CN"/>
              </w:rPr>
              <w:t>等</w:t>
            </w:r>
            <w:r>
              <w:rPr>
                <w:rFonts w:hint="eastAsia" w:ascii="宋体" w:hAnsi="宋体" w:cs="宋体"/>
                <w:sz w:val="24"/>
                <w:szCs w:val="24"/>
                <w:highlight w:val="none"/>
                <w:lang w:eastAsia="zh-CN"/>
              </w:rPr>
              <w:t>）</w:t>
            </w:r>
            <w:r>
              <w:rPr>
                <w:rFonts w:hint="eastAsia" w:ascii="宋体" w:hAnsi="宋体" w:eastAsia="宋体" w:cs="宋体"/>
                <w:sz w:val="24"/>
                <w:szCs w:val="24"/>
                <w:highlight w:val="none"/>
              </w:rPr>
              <w:t>；（3）培训费</w:t>
            </w:r>
            <w:r>
              <w:rPr>
                <w:rFonts w:hint="eastAsia" w:ascii="宋体" w:hAnsi="宋体" w:cs="宋体"/>
                <w:sz w:val="24"/>
                <w:szCs w:val="24"/>
                <w:highlight w:val="none"/>
                <w:lang w:eastAsia="zh-CN"/>
              </w:rPr>
              <w:t>（</w:t>
            </w:r>
            <w:r>
              <w:rPr>
                <w:rFonts w:hint="eastAsia" w:ascii="宋体" w:hAnsi="宋体" w:eastAsia="宋体" w:cs="宋体"/>
                <w:sz w:val="24"/>
                <w:szCs w:val="24"/>
                <w:highlight w:val="none"/>
              </w:rPr>
              <w:t>全体人员一切专业培训</w:t>
            </w:r>
            <w:r>
              <w:rPr>
                <w:rFonts w:hint="eastAsia" w:ascii="宋体" w:hAnsi="宋体" w:cs="宋体"/>
                <w:sz w:val="24"/>
                <w:szCs w:val="24"/>
                <w:highlight w:val="none"/>
                <w:lang w:eastAsia="zh-CN"/>
              </w:rPr>
              <w:t>）</w:t>
            </w:r>
            <w:r>
              <w:rPr>
                <w:rFonts w:hint="eastAsia" w:ascii="宋体" w:hAnsi="宋体" w:eastAsia="宋体" w:cs="宋体"/>
                <w:sz w:val="24"/>
                <w:szCs w:val="24"/>
                <w:highlight w:val="none"/>
              </w:rPr>
              <w:t>；（4）员工的住宿及住宿费用；（5）项目运营、停车管理、软硬件投资建设和维护及服务等所发生的一切费用；（6）提供停车费全额含税发票；（7）合同实施过程中的应预见和不可预见费用</w:t>
            </w:r>
            <w:r>
              <w:rPr>
                <w:rFonts w:hint="eastAsia" w:ascii="宋体" w:hAnsi="宋体" w:cs="宋体"/>
                <w:sz w:val="24"/>
                <w:szCs w:val="24"/>
                <w:highlight w:val="none"/>
                <w:lang w:eastAsia="zh-CN"/>
              </w:rPr>
              <w:t>；</w:t>
            </w:r>
            <w:r>
              <w:rPr>
                <w:rFonts w:hint="eastAsia" w:ascii="宋体" w:hAnsi="宋体" w:eastAsia="宋体" w:cs="宋体"/>
                <w:sz w:val="24"/>
                <w:szCs w:val="24"/>
                <w:highlight w:val="none"/>
              </w:rPr>
              <w:t>（8）设备设施所产生的一切电费由中标人承担。</w:t>
            </w:r>
          </w:p>
        </w:tc>
      </w:tr>
      <w:tr w14:paraId="5EB5C67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638" w:hRule="atLeast"/>
        </w:trPr>
        <w:tc>
          <w:tcPr>
            <w:tcW w:w="745" w:type="dxa"/>
            <w:tcBorders>
              <w:tl2br w:val="nil"/>
              <w:tr2bl w:val="nil"/>
            </w:tcBorders>
            <w:noWrap w:val="0"/>
            <w:vAlign w:val="center"/>
          </w:tcPr>
          <w:p w14:paraId="57EDF42C">
            <w:pPr>
              <w:keepNext w:val="0"/>
              <w:keepLines w:val="0"/>
              <w:pageBreakBefore w:val="0"/>
              <w:widowControl w:val="0"/>
              <w:numPr>
                <w:ilvl w:val="0"/>
                <w:numId w:val="13"/>
              </w:numPr>
              <w:kinsoku/>
              <w:wordWrap w:val="0"/>
              <w:overflowPunct/>
              <w:topLinePunct w:val="0"/>
              <w:autoSpaceDE/>
              <w:autoSpaceDN/>
              <w:bidi w:val="0"/>
              <w:adjustRightInd/>
              <w:snapToGrid/>
              <w:ind w:left="425" w:leftChars="0" w:hanging="425" w:firstLineChars="0"/>
              <w:jc w:val="right"/>
              <w:textAlignment w:val="auto"/>
              <w:rPr>
                <w:rFonts w:hint="eastAsia" w:ascii="宋体" w:hAnsi="宋体" w:eastAsia="宋体" w:cs="宋体"/>
                <w:sz w:val="24"/>
                <w:szCs w:val="24"/>
                <w:highlight w:val="none"/>
              </w:rPr>
            </w:pPr>
          </w:p>
        </w:tc>
        <w:tc>
          <w:tcPr>
            <w:tcW w:w="2050" w:type="dxa"/>
            <w:tcBorders>
              <w:tl2br w:val="nil"/>
              <w:tr2bl w:val="nil"/>
            </w:tcBorders>
            <w:noWrap w:val="0"/>
            <w:vAlign w:val="center"/>
          </w:tcPr>
          <w:p w14:paraId="075B95E6">
            <w:pPr>
              <w:keepNext w:val="0"/>
              <w:keepLines w:val="0"/>
              <w:pageBreakBefore w:val="0"/>
              <w:widowControl w:val="0"/>
              <w:kinsoku/>
              <w:wordWrap w:val="0"/>
              <w:overflowPunct/>
              <w:topLinePunct w:val="0"/>
              <w:autoSpaceDE/>
              <w:autoSpaceDN/>
              <w:bidi w:val="0"/>
              <w:adjustRightInd/>
              <w:snapToGrid/>
              <w:ind w:left="415" w:leftChars="0" w:hanging="415" w:hangingChars="173"/>
              <w:jc w:val="center"/>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服务期</w:t>
            </w:r>
          </w:p>
        </w:tc>
        <w:tc>
          <w:tcPr>
            <w:tcW w:w="6523" w:type="dxa"/>
            <w:tcBorders>
              <w:tl2br w:val="nil"/>
              <w:tr2bl w:val="nil"/>
            </w:tcBorders>
            <w:noWrap w:val="0"/>
            <w:vAlign w:val="center"/>
          </w:tcPr>
          <w:p w14:paraId="16E41867">
            <w:pPr>
              <w:keepNext w:val="0"/>
              <w:keepLines w:val="0"/>
              <w:pageBreakBefore w:val="0"/>
              <w:widowControl w:val="0"/>
              <w:kinsoku/>
              <w:wordWrap w:val="0"/>
              <w:overflowPunct/>
              <w:topLinePunct w:val="0"/>
              <w:autoSpaceDE/>
              <w:autoSpaceDN/>
              <w:bidi w:val="0"/>
              <w:adjustRightInd/>
              <w:snapToGrid/>
              <w:ind w:left="21" w:leftChars="10" w:right="21" w:rightChars="10" w:firstLine="0" w:firstLineChars="0"/>
              <w:jc w:val="center"/>
              <w:textAlignment w:val="auto"/>
              <w:rPr>
                <w:rFonts w:hint="eastAsia" w:ascii="宋体" w:hAnsi="宋体" w:eastAsia="宋体" w:cs="宋体"/>
                <w:sz w:val="24"/>
                <w:szCs w:val="24"/>
                <w:highlight w:val="none"/>
                <w:lang w:eastAsia="zh-CN"/>
              </w:rPr>
            </w:pPr>
            <w:r>
              <w:rPr>
                <w:rFonts w:hint="eastAsia" w:ascii="宋体" w:hAnsi="宋体" w:cs="宋体"/>
                <w:sz w:val="24"/>
                <w:szCs w:val="24"/>
                <w:highlight w:val="none"/>
                <w:lang w:val="en-US" w:eastAsia="zh-CN"/>
              </w:rPr>
              <w:t>5年，合同期限自2025年1月1日至2029年12月31日止</w:t>
            </w:r>
            <w:r>
              <w:rPr>
                <w:rFonts w:hint="eastAsia" w:ascii="宋体" w:hAnsi="宋体" w:cs="宋体"/>
                <w:sz w:val="24"/>
                <w:szCs w:val="24"/>
                <w:highlight w:val="none"/>
                <w:lang w:eastAsia="zh-CN"/>
              </w:rPr>
              <w:t>。</w:t>
            </w:r>
          </w:p>
        </w:tc>
      </w:tr>
      <w:tr w14:paraId="5DF5C17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2631" w:hRule="atLeast"/>
        </w:trPr>
        <w:tc>
          <w:tcPr>
            <w:tcW w:w="745" w:type="dxa"/>
            <w:tcBorders>
              <w:tl2br w:val="nil"/>
              <w:tr2bl w:val="nil"/>
            </w:tcBorders>
            <w:noWrap w:val="0"/>
            <w:vAlign w:val="center"/>
          </w:tcPr>
          <w:p w14:paraId="0E1244C1">
            <w:pPr>
              <w:keepNext w:val="0"/>
              <w:keepLines w:val="0"/>
              <w:pageBreakBefore w:val="0"/>
              <w:widowControl w:val="0"/>
              <w:numPr>
                <w:ilvl w:val="0"/>
                <w:numId w:val="13"/>
              </w:numPr>
              <w:kinsoku/>
              <w:wordWrap w:val="0"/>
              <w:overflowPunct/>
              <w:topLinePunct w:val="0"/>
              <w:autoSpaceDE/>
              <w:autoSpaceDN/>
              <w:bidi w:val="0"/>
              <w:adjustRightInd/>
              <w:snapToGrid/>
              <w:ind w:left="425" w:leftChars="0" w:hanging="425" w:firstLineChars="0"/>
              <w:jc w:val="right"/>
              <w:textAlignment w:val="auto"/>
              <w:rPr>
                <w:rFonts w:hint="eastAsia" w:ascii="宋体" w:hAnsi="宋体" w:eastAsia="宋体" w:cs="宋体"/>
                <w:sz w:val="24"/>
                <w:szCs w:val="24"/>
                <w:highlight w:val="none"/>
              </w:rPr>
            </w:pPr>
          </w:p>
        </w:tc>
        <w:tc>
          <w:tcPr>
            <w:tcW w:w="2050" w:type="dxa"/>
            <w:tcBorders>
              <w:tl2br w:val="nil"/>
              <w:tr2bl w:val="nil"/>
            </w:tcBorders>
            <w:noWrap w:val="0"/>
            <w:vAlign w:val="center"/>
          </w:tcPr>
          <w:p w14:paraId="3B1187D0">
            <w:pPr>
              <w:keepNext w:val="0"/>
              <w:keepLines w:val="0"/>
              <w:pageBreakBefore w:val="0"/>
              <w:widowControl w:val="0"/>
              <w:kinsoku/>
              <w:wordWrap w:val="0"/>
              <w:overflowPunct/>
              <w:topLinePunct w:val="0"/>
              <w:autoSpaceDE/>
              <w:autoSpaceDN/>
              <w:bidi w:val="0"/>
              <w:adjustRightInd/>
              <w:snapToGrid/>
              <w:ind w:left="415" w:leftChars="0" w:hanging="415" w:hangingChars="173"/>
              <w:jc w:val="center"/>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付款方式</w:t>
            </w:r>
          </w:p>
        </w:tc>
        <w:tc>
          <w:tcPr>
            <w:tcW w:w="6523" w:type="dxa"/>
            <w:tcBorders>
              <w:tl2br w:val="nil"/>
              <w:tr2bl w:val="nil"/>
            </w:tcBorders>
            <w:noWrap w:val="0"/>
            <w:vAlign w:val="center"/>
          </w:tcPr>
          <w:p w14:paraId="2DEC14F3">
            <w:pPr>
              <w:keepNext w:val="0"/>
              <w:keepLines w:val="0"/>
              <w:pageBreakBefore w:val="0"/>
              <w:widowControl w:val="0"/>
              <w:numPr>
                <w:ilvl w:val="0"/>
                <w:numId w:val="0"/>
              </w:numPr>
              <w:kinsoku/>
              <w:wordWrap w:val="0"/>
              <w:overflowPunct/>
              <w:topLinePunct w:val="0"/>
              <w:autoSpaceDE/>
              <w:autoSpaceDN/>
              <w:bidi w:val="0"/>
              <w:adjustRightInd/>
              <w:snapToGrid/>
              <w:ind w:left="14" w:leftChars="0" w:hanging="14" w:hangingChars="6"/>
              <w:jc w:val="left"/>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1.中标人按照</w:t>
            </w:r>
            <w:r>
              <w:rPr>
                <w:rFonts w:hint="eastAsia" w:ascii="宋体" w:hAnsi="宋体" w:cs="宋体"/>
                <w:color w:val="auto"/>
                <w:sz w:val="24"/>
                <w:szCs w:val="24"/>
                <w:highlight w:val="none"/>
                <w:lang w:val="en-US" w:eastAsia="zh-CN"/>
              </w:rPr>
              <w:t>合同</w:t>
            </w:r>
            <w:r>
              <w:rPr>
                <w:rFonts w:hint="eastAsia" w:ascii="宋体" w:hAnsi="宋体" w:eastAsia="宋体" w:cs="宋体"/>
                <w:color w:val="auto"/>
                <w:sz w:val="24"/>
                <w:szCs w:val="24"/>
                <w:highlight w:val="none"/>
                <w:lang w:val="en-US" w:eastAsia="zh-CN"/>
              </w:rPr>
              <w:t>制定的车辆管理费收费标准，对进入招标人辖区内停放的外来车辆收取车辆管理维护服务费。中标人在合同期内按季度向招标人支付车辆管理服务费；</w:t>
            </w:r>
          </w:p>
          <w:p w14:paraId="7DD9977E">
            <w:pPr>
              <w:keepNext w:val="0"/>
              <w:keepLines w:val="0"/>
              <w:pageBreakBefore w:val="0"/>
              <w:widowControl w:val="0"/>
              <w:numPr>
                <w:ilvl w:val="0"/>
                <w:numId w:val="0"/>
              </w:numPr>
              <w:kinsoku/>
              <w:wordWrap w:val="0"/>
              <w:overflowPunct/>
              <w:topLinePunct w:val="0"/>
              <w:autoSpaceDE/>
              <w:autoSpaceDN/>
              <w:bidi w:val="0"/>
              <w:adjustRightInd/>
              <w:snapToGrid/>
              <w:ind w:left="14" w:leftChars="0" w:hanging="14" w:hangingChars="6"/>
              <w:jc w:val="left"/>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2.按先支付后管理使用原则，逾期15日未付清的视作根本性违约，招标人有权单方解除</w:t>
            </w:r>
            <w:r>
              <w:rPr>
                <w:rFonts w:hint="eastAsia" w:ascii="宋体" w:hAnsi="宋体" w:cs="宋体"/>
                <w:color w:val="auto"/>
                <w:sz w:val="24"/>
                <w:szCs w:val="24"/>
                <w:highlight w:val="none"/>
                <w:lang w:val="en-US" w:eastAsia="zh-CN"/>
              </w:rPr>
              <w:t>合同</w:t>
            </w:r>
            <w:r>
              <w:rPr>
                <w:rFonts w:hint="eastAsia" w:ascii="宋体" w:hAnsi="宋体" w:eastAsia="宋体" w:cs="宋体"/>
                <w:color w:val="auto"/>
                <w:sz w:val="24"/>
                <w:szCs w:val="24"/>
                <w:highlight w:val="none"/>
                <w:lang w:val="en-US" w:eastAsia="zh-CN"/>
              </w:rPr>
              <w:t>，并</w:t>
            </w:r>
            <w:r>
              <w:rPr>
                <w:rFonts w:hint="eastAsia" w:ascii="宋体" w:hAnsi="宋体" w:cs="宋体"/>
                <w:color w:val="auto"/>
                <w:sz w:val="24"/>
                <w:szCs w:val="24"/>
                <w:highlight w:val="none"/>
                <w:lang w:val="en-US" w:eastAsia="zh-CN"/>
              </w:rPr>
              <w:t>不予退还合同履约保证金</w:t>
            </w:r>
            <w:r>
              <w:rPr>
                <w:rFonts w:hint="eastAsia" w:ascii="宋体" w:hAnsi="宋体" w:eastAsia="宋体" w:cs="宋体"/>
                <w:color w:val="auto"/>
                <w:sz w:val="24"/>
                <w:szCs w:val="24"/>
                <w:highlight w:val="none"/>
                <w:lang w:val="en-US" w:eastAsia="zh-CN"/>
              </w:rPr>
              <w:t>，中标人投入建设安装的一切设施设备无偿归甲方所有。招标人在收取服务费时只提供招标人开具的收据，如需要开具发票，所产生的税费由中标人承担。</w:t>
            </w:r>
          </w:p>
        </w:tc>
      </w:tr>
      <w:tr w14:paraId="2184475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715" w:hRule="atLeast"/>
        </w:trPr>
        <w:tc>
          <w:tcPr>
            <w:tcW w:w="745" w:type="dxa"/>
            <w:tcBorders>
              <w:tl2br w:val="nil"/>
              <w:tr2bl w:val="nil"/>
            </w:tcBorders>
            <w:noWrap w:val="0"/>
            <w:vAlign w:val="center"/>
          </w:tcPr>
          <w:p w14:paraId="6D76E23C">
            <w:pPr>
              <w:keepNext w:val="0"/>
              <w:keepLines w:val="0"/>
              <w:pageBreakBefore w:val="0"/>
              <w:widowControl w:val="0"/>
              <w:numPr>
                <w:ilvl w:val="0"/>
                <w:numId w:val="13"/>
              </w:numPr>
              <w:kinsoku/>
              <w:wordWrap w:val="0"/>
              <w:overflowPunct/>
              <w:topLinePunct w:val="0"/>
              <w:autoSpaceDE/>
              <w:autoSpaceDN/>
              <w:bidi w:val="0"/>
              <w:adjustRightInd/>
              <w:snapToGrid/>
              <w:ind w:left="425" w:leftChars="0" w:hanging="425" w:firstLineChars="0"/>
              <w:jc w:val="right"/>
              <w:textAlignment w:val="auto"/>
              <w:rPr>
                <w:rFonts w:hint="eastAsia" w:ascii="宋体" w:hAnsi="宋体" w:eastAsia="宋体" w:cs="宋体"/>
                <w:sz w:val="24"/>
                <w:szCs w:val="24"/>
                <w:highlight w:val="none"/>
              </w:rPr>
            </w:pPr>
          </w:p>
        </w:tc>
        <w:tc>
          <w:tcPr>
            <w:tcW w:w="2050" w:type="dxa"/>
            <w:tcBorders>
              <w:tl2br w:val="nil"/>
              <w:tr2bl w:val="nil"/>
            </w:tcBorders>
            <w:noWrap w:val="0"/>
            <w:vAlign w:val="center"/>
          </w:tcPr>
          <w:p w14:paraId="47014670">
            <w:pPr>
              <w:keepNext w:val="0"/>
              <w:keepLines w:val="0"/>
              <w:pageBreakBefore w:val="0"/>
              <w:widowControl w:val="0"/>
              <w:kinsoku/>
              <w:wordWrap w:val="0"/>
              <w:overflowPunct/>
              <w:topLinePunct w:val="0"/>
              <w:autoSpaceDE/>
              <w:autoSpaceDN/>
              <w:bidi w:val="0"/>
              <w:adjustRightInd/>
              <w:snapToGrid/>
              <w:ind w:left="415" w:leftChars="0" w:hanging="415" w:hangingChars="173"/>
              <w:jc w:val="center"/>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递增情况</w:t>
            </w:r>
          </w:p>
        </w:tc>
        <w:tc>
          <w:tcPr>
            <w:tcW w:w="6523" w:type="dxa"/>
            <w:tcBorders>
              <w:tl2br w:val="nil"/>
              <w:tr2bl w:val="nil"/>
            </w:tcBorders>
            <w:noWrap w:val="0"/>
            <w:vAlign w:val="center"/>
          </w:tcPr>
          <w:p w14:paraId="08D7C04A">
            <w:pPr>
              <w:keepNext w:val="0"/>
              <w:keepLines w:val="0"/>
              <w:pageBreakBefore w:val="0"/>
              <w:widowControl w:val="0"/>
              <w:numPr>
                <w:ilvl w:val="0"/>
                <w:numId w:val="0"/>
              </w:numPr>
              <w:kinsoku/>
              <w:wordWrap w:val="0"/>
              <w:overflowPunct/>
              <w:topLinePunct w:val="0"/>
              <w:autoSpaceDE/>
              <w:autoSpaceDN/>
              <w:bidi w:val="0"/>
              <w:adjustRightInd/>
              <w:snapToGrid/>
              <w:ind w:left="14" w:leftChars="0" w:hanging="14" w:hangingChars="6"/>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每两年为一个周期，每个周期内的年度管理费在上一个周期的基础上按首年管理费的8%固定递增。</w:t>
            </w:r>
          </w:p>
        </w:tc>
      </w:tr>
      <w:tr w14:paraId="5DED457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715" w:hRule="atLeast"/>
        </w:trPr>
        <w:tc>
          <w:tcPr>
            <w:tcW w:w="745" w:type="dxa"/>
            <w:tcBorders>
              <w:tl2br w:val="nil"/>
              <w:tr2bl w:val="nil"/>
            </w:tcBorders>
            <w:noWrap w:val="0"/>
            <w:vAlign w:val="center"/>
          </w:tcPr>
          <w:p w14:paraId="29820BF0">
            <w:pPr>
              <w:keepNext w:val="0"/>
              <w:keepLines w:val="0"/>
              <w:pageBreakBefore w:val="0"/>
              <w:widowControl w:val="0"/>
              <w:numPr>
                <w:ilvl w:val="0"/>
                <w:numId w:val="13"/>
              </w:numPr>
              <w:kinsoku/>
              <w:wordWrap w:val="0"/>
              <w:overflowPunct/>
              <w:topLinePunct w:val="0"/>
              <w:autoSpaceDE/>
              <w:autoSpaceDN/>
              <w:bidi w:val="0"/>
              <w:adjustRightInd/>
              <w:snapToGrid/>
              <w:ind w:left="425" w:leftChars="0" w:hanging="425" w:firstLineChars="0"/>
              <w:jc w:val="right"/>
              <w:textAlignment w:val="auto"/>
              <w:rPr>
                <w:rFonts w:hint="eastAsia" w:ascii="宋体" w:hAnsi="宋体" w:eastAsia="宋体" w:cs="宋体"/>
                <w:sz w:val="24"/>
                <w:szCs w:val="24"/>
                <w:highlight w:val="none"/>
              </w:rPr>
            </w:pPr>
          </w:p>
        </w:tc>
        <w:tc>
          <w:tcPr>
            <w:tcW w:w="2050" w:type="dxa"/>
            <w:tcBorders>
              <w:tl2br w:val="nil"/>
              <w:tr2bl w:val="nil"/>
            </w:tcBorders>
            <w:noWrap w:val="0"/>
            <w:vAlign w:val="center"/>
          </w:tcPr>
          <w:p w14:paraId="4F3738D2">
            <w:pPr>
              <w:keepNext w:val="0"/>
              <w:keepLines w:val="0"/>
              <w:pageBreakBefore w:val="0"/>
              <w:widowControl w:val="0"/>
              <w:kinsoku/>
              <w:wordWrap w:val="0"/>
              <w:overflowPunct/>
              <w:topLinePunct w:val="0"/>
              <w:autoSpaceDE/>
              <w:autoSpaceDN/>
              <w:bidi w:val="0"/>
              <w:adjustRightInd/>
              <w:snapToGrid/>
              <w:ind w:left="415" w:leftChars="0" w:hanging="415" w:hangingChars="173"/>
              <w:jc w:val="center"/>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竞投保证金</w:t>
            </w:r>
          </w:p>
        </w:tc>
        <w:tc>
          <w:tcPr>
            <w:tcW w:w="6523" w:type="dxa"/>
            <w:tcBorders>
              <w:tl2br w:val="nil"/>
              <w:tr2bl w:val="nil"/>
            </w:tcBorders>
            <w:noWrap w:val="0"/>
            <w:vAlign w:val="center"/>
          </w:tcPr>
          <w:p w14:paraId="60A1E525">
            <w:pPr>
              <w:keepNext w:val="0"/>
              <w:keepLines w:val="0"/>
              <w:pageBreakBefore w:val="0"/>
              <w:widowControl w:val="0"/>
              <w:numPr>
                <w:ilvl w:val="0"/>
                <w:numId w:val="0"/>
              </w:numPr>
              <w:kinsoku/>
              <w:wordWrap w:val="0"/>
              <w:overflowPunct/>
              <w:topLinePunct w:val="0"/>
              <w:autoSpaceDE/>
              <w:autoSpaceDN/>
              <w:bidi w:val="0"/>
              <w:adjustRightInd/>
              <w:snapToGrid/>
              <w:ind w:left="21" w:leftChars="10" w:right="21" w:rightChars="10" w:firstLine="0" w:firstLineChars="0"/>
              <w:jc w:val="left"/>
              <w:textAlignment w:val="auto"/>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val="en-US" w:eastAsia="zh-CN"/>
              </w:rPr>
              <w:t>人民币</w:t>
            </w:r>
            <w:r>
              <w:rPr>
                <w:rFonts w:hint="eastAsia" w:ascii="宋体" w:hAnsi="宋体" w:cs="宋体"/>
                <w:color w:val="auto"/>
                <w:sz w:val="24"/>
                <w:szCs w:val="24"/>
                <w:highlight w:val="none"/>
                <w:lang w:eastAsia="zh-CN"/>
              </w:rPr>
              <w:t>50,000.00</w:t>
            </w:r>
            <w:r>
              <w:rPr>
                <w:rFonts w:hint="eastAsia" w:ascii="宋体" w:hAnsi="宋体" w:eastAsia="宋体" w:cs="宋体"/>
                <w:color w:val="auto"/>
                <w:sz w:val="24"/>
                <w:szCs w:val="24"/>
                <w:highlight w:val="none"/>
              </w:rPr>
              <w:t>元（大写：人民币</w:t>
            </w:r>
            <w:r>
              <w:rPr>
                <w:rFonts w:hint="eastAsia" w:ascii="宋体" w:hAnsi="宋体" w:cs="宋体"/>
                <w:color w:val="auto"/>
                <w:sz w:val="24"/>
                <w:szCs w:val="24"/>
                <w:highlight w:val="none"/>
                <w:lang w:eastAsia="zh-CN"/>
              </w:rPr>
              <w:t>伍万元整</w:t>
            </w:r>
            <w:r>
              <w:rPr>
                <w:rFonts w:hint="eastAsia" w:ascii="宋体" w:hAnsi="宋体" w:eastAsia="宋体" w:cs="宋体"/>
                <w:color w:val="auto"/>
                <w:sz w:val="24"/>
                <w:szCs w:val="24"/>
                <w:highlight w:val="none"/>
              </w:rPr>
              <w:t>）。</w:t>
            </w:r>
          </w:p>
        </w:tc>
      </w:tr>
      <w:tr w14:paraId="084A73C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2005" w:hRule="atLeast"/>
        </w:trPr>
        <w:tc>
          <w:tcPr>
            <w:tcW w:w="745" w:type="dxa"/>
            <w:tcBorders>
              <w:tl2br w:val="nil"/>
              <w:tr2bl w:val="nil"/>
            </w:tcBorders>
            <w:noWrap w:val="0"/>
            <w:vAlign w:val="center"/>
          </w:tcPr>
          <w:p w14:paraId="7CB7F3B0">
            <w:pPr>
              <w:keepNext w:val="0"/>
              <w:keepLines w:val="0"/>
              <w:pageBreakBefore w:val="0"/>
              <w:widowControl w:val="0"/>
              <w:numPr>
                <w:ilvl w:val="0"/>
                <w:numId w:val="13"/>
              </w:numPr>
              <w:kinsoku/>
              <w:wordWrap w:val="0"/>
              <w:overflowPunct/>
              <w:topLinePunct w:val="0"/>
              <w:autoSpaceDE/>
              <w:autoSpaceDN/>
              <w:bidi w:val="0"/>
              <w:adjustRightInd/>
              <w:snapToGrid/>
              <w:ind w:left="425" w:leftChars="0" w:hanging="425" w:firstLineChars="0"/>
              <w:jc w:val="right"/>
              <w:textAlignment w:val="auto"/>
              <w:rPr>
                <w:rFonts w:hint="eastAsia" w:ascii="宋体" w:hAnsi="宋体" w:eastAsia="宋体" w:cs="宋体"/>
                <w:sz w:val="24"/>
                <w:szCs w:val="24"/>
                <w:highlight w:val="none"/>
              </w:rPr>
            </w:pPr>
          </w:p>
        </w:tc>
        <w:tc>
          <w:tcPr>
            <w:tcW w:w="2050" w:type="dxa"/>
            <w:tcBorders>
              <w:tl2br w:val="nil"/>
              <w:tr2bl w:val="nil"/>
            </w:tcBorders>
            <w:noWrap w:val="0"/>
            <w:vAlign w:val="center"/>
          </w:tcPr>
          <w:p w14:paraId="44EAC745">
            <w:pPr>
              <w:keepNext w:val="0"/>
              <w:keepLines w:val="0"/>
              <w:pageBreakBefore w:val="0"/>
              <w:widowControl w:val="0"/>
              <w:kinsoku/>
              <w:wordWrap w:val="0"/>
              <w:overflowPunct/>
              <w:topLinePunct w:val="0"/>
              <w:autoSpaceDE/>
              <w:autoSpaceDN/>
              <w:bidi w:val="0"/>
              <w:adjustRightInd/>
              <w:snapToGrid/>
              <w:ind w:left="415" w:leftChars="0" w:hanging="415" w:hangingChars="173"/>
              <w:jc w:val="center"/>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合同履约保证金</w:t>
            </w:r>
          </w:p>
        </w:tc>
        <w:tc>
          <w:tcPr>
            <w:tcW w:w="6523" w:type="dxa"/>
            <w:tcBorders>
              <w:tl2br w:val="nil"/>
              <w:tr2bl w:val="nil"/>
            </w:tcBorders>
            <w:noWrap w:val="0"/>
            <w:vAlign w:val="center"/>
          </w:tcPr>
          <w:p w14:paraId="6075425A">
            <w:pPr>
              <w:keepNext w:val="0"/>
              <w:keepLines w:val="0"/>
              <w:pageBreakBefore w:val="0"/>
              <w:widowControl w:val="0"/>
              <w:numPr>
                <w:ilvl w:val="0"/>
                <w:numId w:val="0"/>
              </w:numPr>
              <w:kinsoku/>
              <w:wordWrap w:val="0"/>
              <w:overflowPunct/>
              <w:topLinePunct w:val="0"/>
              <w:autoSpaceDE/>
              <w:autoSpaceDN/>
              <w:bidi w:val="0"/>
              <w:adjustRightInd/>
              <w:snapToGrid/>
              <w:ind w:left="21" w:leftChars="10" w:right="21" w:rightChars="10" w:firstLine="0" w:firstLineChars="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履约保证金为</w:t>
            </w:r>
            <w:r>
              <w:rPr>
                <w:rFonts w:hint="eastAsia" w:ascii="宋体" w:hAnsi="宋体" w:cs="宋体"/>
                <w:color w:val="auto"/>
                <w:sz w:val="24"/>
                <w:szCs w:val="24"/>
                <w:highlight w:val="none"/>
                <w:lang w:val="en-US" w:eastAsia="zh-CN"/>
              </w:rPr>
              <w:t>100,000.00</w:t>
            </w:r>
            <w:r>
              <w:rPr>
                <w:rFonts w:hint="eastAsia" w:ascii="宋体" w:hAnsi="宋体" w:eastAsia="宋体" w:cs="宋体"/>
                <w:color w:val="auto"/>
                <w:sz w:val="24"/>
                <w:szCs w:val="24"/>
                <w:highlight w:val="none"/>
              </w:rPr>
              <w:t>元</w:t>
            </w:r>
            <w:r>
              <w:rPr>
                <w:rFonts w:hint="eastAsia" w:ascii="宋体" w:hAnsi="宋体" w:cs="宋体"/>
                <w:color w:val="auto"/>
                <w:sz w:val="24"/>
                <w:szCs w:val="24"/>
                <w:highlight w:val="none"/>
                <w:lang w:eastAsia="zh-CN"/>
              </w:rPr>
              <w:t>（</w:t>
            </w:r>
            <w:r>
              <w:rPr>
                <w:rFonts w:hint="eastAsia" w:ascii="宋体" w:hAnsi="宋体" w:cs="宋体"/>
                <w:color w:val="auto"/>
                <w:sz w:val="24"/>
                <w:szCs w:val="24"/>
                <w:highlight w:val="none"/>
                <w:lang w:val="en-US" w:eastAsia="zh-CN"/>
              </w:rPr>
              <w:t>大写：人民币壹拾万元整</w:t>
            </w:r>
            <w:r>
              <w:rPr>
                <w:rFonts w:hint="eastAsia" w:ascii="宋体" w:hAnsi="宋体" w:cs="宋体"/>
                <w:color w:val="auto"/>
                <w:sz w:val="24"/>
                <w:szCs w:val="24"/>
                <w:highlight w:val="none"/>
                <w:lang w:eastAsia="zh-CN"/>
              </w:rPr>
              <w:t>）</w:t>
            </w:r>
            <w:r>
              <w:rPr>
                <w:rFonts w:hint="eastAsia" w:ascii="宋体" w:hAnsi="宋体" w:eastAsia="宋体" w:cs="宋体"/>
                <w:color w:val="auto"/>
                <w:sz w:val="24"/>
                <w:szCs w:val="24"/>
                <w:highlight w:val="none"/>
              </w:rPr>
              <w:t>。中标人在中标通知书发出3个工作日内，应以银行转账</w:t>
            </w:r>
            <w:r>
              <w:rPr>
                <w:rFonts w:hint="eastAsia" w:ascii="宋体" w:hAnsi="宋体" w:cs="宋体"/>
                <w:color w:val="auto"/>
                <w:sz w:val="24"/>
                <w:szCs w:val="24"/>
                <w:highlight w:val="none"/>
                <w:lang w:val="en-US" w:eastAsia="zh-CN"/>
              </w:rPr>
              <w:t>等非现金</w:t>
            </w:r>
            <w:r>
              <w:rPr>
                <w:rFonts w:hint="eastAsia" w:ascii="宋体" w:hAnsi="宋体" w:eastAsia="宋体" w:cs="宋体"/>
                <w:color w:val="auto"/>
                <w:sz w:val="24"/>
                <w:szCs w:val="24"/>
                <w:highlight w:val="none"/>
              </w:rPr>
              <w:t>的方式向</w:t>
            </w:r>
            <w:r>
              <w:rPr>
                <w:rFonts w:hint="eastAsia" w:ascii="宋体" w:hAnsi="宋体" w:eastAsia="宋体" w:cs="宋体"/>
                <w:color w:val="auto"/>
                <w:sz w:val="24"/>
                <w:szCs w:val="24"/>
                <w:highlight w:val="none"/>
                <w:lang w:eastAsia="zh-CN"/>
              </w:rPr>
              <w:t>招标人</w:t>
            </w:r>
            <w:r>
              <w:rPr>
                <w:rFonts w:hint="eastAsia" w:ascii="宋体" w:hAnsi="宋体" w:eastAsia="宋体" w:cs="宋体"/>
                <w:color w:val="auto"/>
                <w:sz w:val="24"/>
                <w:szCs w:val="24"/>
                <w:highlight w:val="none"/>
              </w:rPr>
              <w:t>交纳履约保证金。如中标人无违约行为的，服务期结束后30日内，</w:t>
            </w:r>
            <w:r>
              <w:rPr>
                <w:rFonts w:hint="eastAsia" w:ascii="宋体" w:hAnsi="宋体" w:eastAsia="宋体" w:cs="宋体"/>
                <w:color w:val="auto"/>
                <w:sz w:val="24"/>
                <w:szCs w:val="24"/>
                <w:highlight w:val="none"/>
                <w:lang w:eastAsia="zh-CN"/>
              </w:rPr>
              <w:t>招标人</w:t>
            </w:r>
            <w:r>
              <w:rPr>
                <w:rFonts w:hint="eastAsia" w:ascii="宋体" w:hAnsi="宋体" w:eastAsia="宋体" w:cs="宋体"/>
                <w:color w:val="auto"/>
                <w:sz w:val="24"/>
                <w:szCs w:val="24"/>
                <w:highlight w:val="none"/>
              </w:rPr>
              <w:t>将履约保证金全额无息退还给中标人。中标人不按要求提交履约保证金的，</w:t>
            </w:r>
            <w:r>
              <w:rPr>
                <w:rFonts w:hint="eastAsia" w:ascii="宋体" w:hAnsi="宋体" w:eastAsia="宋体" w:cs="宋体"/>
                <w:color w:val="auto"/>
                <w:sz w:val="24"/>
                <w:szCs w:val="24"/>
                <w:highlight w:val="none"/>
                <w:lang w:eastAsia="zh-CN"/>
              </w:rPr>
              <w:t>招标人</w:t>
            </w:r>
            <w:r>
              <w:rPr>
                <w:rFonts w:hint="eastAsia" w:ascii="宋体" w:hAnsi="宋体" w:eastAsia="宋体" w:cs="宋体"/>
                <w:color w:val="auto"/>
                <w:sz w:val="24"/>
                <w:szCs w:val="24"/>
                <w:highlight w:val="none"/>
              </w:rPr>
              <w:t>有权解除合同，取消中标人的成交资格，</w:t>
            </w:r>
            <w:r>
              <w:rPr>
                <w:rFonts w:hint="eastAsia" w:ascii="宋体" w:hAnsi="宋体" w:cs="宋体"/>
                <w:color w:val="auto"/>
                <w:sz w:val="24"/>
                <w:szCs w:val="24"/>
                <w:highlight w:val="none"/>
                <w:lang w:eastAsia="zh-CN"/>
              </w:rPr>
              <w:t>竞投保证金</w:t>
            </w:r>
            <w:r>
              <w:rPr>
                <w:rFonts w:hint="eastAsia" w:ascii="宋体" w:hAnsi="宋体" w:eastAsia="宋体" w:cs="宋体"/>
                <w:color w:val="auto"/>
                <w:sz w:val="24"/>
                <w:szCs w:val="24"/>
                <w:highlight w:val="none"/>
              </w:rPr>
              <w:t>不予退还。</w:t>
            </w:r>
          </w:p>
        </w:tc>
      </w:tr>
      <w:tr w14:paraId="0B88366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1085" w:hRule="atLeast"/>
        </w:trPr>
        <w:tc>
          <w:tcPr>
            <w:tcW w:w="745" w:type="dxa"/>
            <w:tcBorders>
              <w:tl2br w:val="nil"/>
              <w:tr2bl w:val="nil"/>
            </w:tcBorders>
            <w:noWrap w:val="0"/>
            <w:vAlign w:val="center"/>
          </w:tcPr>
          <w:p w14:paraId="218237DC">
            <w:pPr>
              <w:keepNext w:val="0"/>
              <w:keepLines w:val="0"/>
              <w:pageBreakBefore w:val="0"/>
              <w:widowControl w:val="0"/>
              <w:numPr>
                <w:ilvl w:val="0"/>
                <w:numId w:val="13"/>
              </w:numPr>
              <w:kinsoku/>
              <w:wordWrap w:val="0"/>
              <w:overflowPunct/>
              <w:topLinePunct w:val="0"/>
              <w:autoSpaceDE/>
              <w:autoSpaceDN/>
              <w:bidi w:val="0"/>
              <w:adjustRightInd/>
              <w:snapToGrid/>
              <w:ind w:left="425" w:leftChars="0" w:hanging="425" w:firstLineChars="0"/>
              <w:jc w:val="right"/>
              <w:textAlignment w:val="auto"/>
              <w:rPr>
                <w:rFonts w:hint="eastAsia" w:ascii="宋体" w:hAnsi="宋体" w:eastAsia="宋体" w:cs="宋体"/>
                <w:sz w:val="24"/>
                <w:szCs w:val="24"/>
                <w:highlight w:val="none"/>
              </w:rPr>
            </w:pPr>
          </w:p>
        </w:tc>
        <w:tc>
          <w:tcPr>
            <w:tcW w:w="2050" w:type="dxa"/>
            <w:tcBorders>
              <w:tl2br w:val="nil"/>
              <w:tr2bl w:val="nil"/>
            </w:tcBorders>
            <w:noWrap w:val="0"/>
            <w:vAlign w:val="center"/>
          </w:tcPr>
          <w:p w14:paraId="664730CA">
            <w:pPr>
              <w:keepNext w:val="0"/>
              <w:keepLines w:val="0"/>
              <w:pageBreakBefore w:val="0"/>
              <w:widowControl w:val="0"/>
              <w:kinsoku/>
              <w:wordWrap w:val="0"/>
              <w:overflowPunct/>
              <w:topLinePunct w:val="0"/>
              <w:autoSpaceDE/>
              <w:autoSpaceDN/>
              <w:bidi w:val="0"/>
              <w:adjustRightInd/>
              <w:snapToGrid/>
              <w:ind w:left="415" w:leftChars="0" w:hanging="415" w:hangingChars="173"/>
              <w:jc w:val="center"/>
              <w:textAlignment w:val="auto"/>
              <w:rPr>
                <w:rFonts w:hint="eastAsia" w:ascii="宋体" w:hAnsi="宋体" w:eastAsia="宋体" w:cs="宋体"/>
                <w:sz w:val="24"/>
                <w:szCs w:val="24"/>
                <w:highlight w:val="none"/>
                <w:lang w:val="en-US" w:eastAsia="zh-CN"/>
              </w:rPr>
            </w:pPr>
            <w:r>
              <w:rPr>
                <w:rFonts w:hint="eastAsia" w:ascii="宋体" w:hAnsi="宋体" w:cs="宋体"/>
                <w:sz w:val="24"/>
                <w:szCs w:val="24"/>
                <w:highlight w:val="none"/>
                <w:lang w:val="en-US" w:eastAsia="zh-CN"/>
              </w:rPr>
              <w:t>其他</w:t>
            </w:r>
          </w:p>
        </w:tc>
        <w:tc>
          <w:tcPr>
            <w:tcW w:w="6523" w:type="dxa"/>
            <w:tcBorders>
              <w:tl2br w:val="nil"/>
              <w:tr2bl w:val="nil"/>
            </w:tcBorders>
            <w:noWrap w:val="0"/>
            <w:vAlign w:val="center"/>
          </w:tcPr>
          <w:p w14:paraId="40A1BE7B">
            <w:pPr>
              <w:keepNext w:val="0"/>
              <w:keepLines w:val="0"/>
              <w:pageBreakBefore w:val="0"/>
              <w:widowControl w:val="0"/>
              <w:numPr>
                <w:ilvl w:val="0"/>
                <w:numId w:val="0"/>
              </w:numPr>
              <w:kinsoku/>
              <w:wordWrap w:val="0"/>
              <w:overflowPunct/>
              <w:topLinePunct w:val="0"/>
              <w:autoSpaceDE/>
              <w:autoSpaceDN/>
              <w:bidi w:val="0"/>
              <w:adjustRightInd/>
              <w:snapToGrid/>
              <w:ind w:leftChars="0"/>
              <w:jc w:val="left"/>
              <w:textAlignment w:val="auto"/>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eastAsia="zh-CN"/>
              </w:rPr>
              <w:t>1.招标人将</w:t>
            </w:r>
            <w:r>
              <w:rPr>
                <w:rFonts w:hint="eastAsia" w:ascii="宋体" w:hAnsi="宋体" w:cs="宋体"/>
                <w:sz w:val="24"/>
                <w:szCs w:val="24"/>
                <w:highlight w:val="none"/>
                <w:lang w:eastAsia="zh-CN"/>
              </w:rPr>
              <w:t>吉利邓岗村车辆</w:t>
            </w:r>
            <w:r>
              <w:rPr>
                <w:rFonts w:hint="eastAsia" w:ascii="宋体" w:hAnsi="宋体" w:eastAsia="宋体" w:cs="宋体"/>
                <w:sz w:val="24"/>
                <w:szCs w:val="24"/>
                <w:highlight w:val="none"/>
                <w:lang w:eastAsia="zh-CN"/>
              </w:rPr>
              <w:t>停放管理交由中标人进行管理，中标人按中标价向招标人支付相关费用；</w:t>
            </w:r>
          </w:p>
          <w:p w14:paraId="7F561F41">
            <w:pPr>
              <w:keepNext w:val="0"/>
              <w:keepLines w:val="0"/>
              <w:pageBreakBefore w:val="0"/>
              <w:widowControl w:val="0"/>
              <w:numPr>
                <w:ilvl w:val="0"/>
                <w:numId w:val="0"/>
              </w:numPr>
              <w:kinsoku/>
              <w:wordWrap w:val="0"/>
              <w:overflowPunct/>
              <w:topLinePunct w:val="0"/>
              <w:autoSpaceDE/>
              <w:autoSpaceDN/>
              <w:bidi w:val="0"/>
              <w:adjustRightInd/>
              <w:snapToGrid/>
              <w:ind w:leftChars="0"/>
              <w:jc w:val="left"/>
              <w:textAlignment w:val="auto"/>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eastAsia="zh-CN"/>
              </w:rPr>
              <w:t>2.中标人按招标人的要求进行管理，严格按照市、区、相关文件要求进行备案、收费、管理</w:t>
            </w:r>
            <w:r>
              <w:rPr>
                <w:rFonts w:hint="eastAsia" w:ascii="宋体" w:hAnsi="宋体" w:cs="宋体"/>
                <w:sz w:val="24"/>
                <w:szCs w:val="24"/>
                <w:highlight w:val="none"/>
                <w:lang w:eastAsia="zh-CN"/>
              </w:rPr>
              <w:t>；</w:t>
            </w:r>
          </w:p>
          <w:p w14:paraId="61F4EB09">
            <w:pPr>
              <w:keepNext w:val="0"/>
              <w:keepLines w:val="0"/>
              <w:pageBreakBefore w:val="0"/>
              <w:widowControl w:val="0"/>
              <w:numPr>
                <w:ilvl w:val="0"/>
                <w:numId w:val="0"/>
              </w:numPr>
              <w:kinsoku/>
              <w:wordWrap w:val="0"/>
              <w:overflowPunct/>
              <w:topLinePunct w:val="0"/>
              <w:autoSpaceDE/>
              <w:autoSpaceDN/>
              <w:bidi w:val="0"/>
              <w:adjustRightInd/>
              <w:snapToGrid/>
              <w:ind w:leftChars="0"/>
              <w:jc w:val="left"/>
              <w:textAlignment w:val="auto"/>
              <w:rPr>
                <w:rFonts w:hint="eastAsia" w:ascii="宋体" w:hAnsi="宋体" w:eastAsia="宋体" w:cs="宋体"/>
                <w:sz w:val="24"/>
                <w:szCs w:val="24"/>
                <w:highlight w:val="none"/>
                <w:lang w:eastAsia="zh-CN"/>
              </w:rPr>
            </w:pPr>
            <w:r>
              <w:rPr>
                <w:rFonts w:hint="eastAsia" w:ascii="宋体" w:hAnsi="宋体" w:eastAsia="宋体" w:cs="宋体"/>
                <w:b/>
                <w:bCs/>
                <w:sz w:val="24"/>
                <w:szCs w:val="24"/>
                <w:highlight w:val="none"/>
                <w:lang w:eastAsia="zh-CN"/>
              </w:rPr>
              <w:t>3.中标人必须在中标通知书发出之日起15个工作日内完成</w:t>
            </w:r>
            <w:r>
              <w:rPr>
                <w:rFonts w:hint="eastAsia" w:ascii="宋体" w:hAnsi="宋体" w:cs="宋体"/>
                <w:b/>
                <w:bCs/>
                <w:sz w:val="24"/>
                <w:szCs w:val="24"/>
                <w:highlight w:val="none"/>
                <w:lang w:val="en-US" w:eastAsia="zh-CN"/>
              </w:rPr>
              <w:t>办理</w:t>
            </w:r>
            <w:r>
              <w:rPr>
                <w:rFonts w:hint="eastAsia" w:ascii="宋体" w:hAnsi="宋体" w:eastAsia="宋体" w:cs="宋体"/>
                <w:b/>
                <w:bCs/>
                <w:sz w:val="24"/>
                <w:szCs w:val="24"/>
                <w:highlight w:val="none"/>
                <w:lang w:eastAsia="zh-CN"/>
              </w:rPr>
              <w:t>本停车场在佛山市停车场管理系统登记备案。</w:t>
            </w:r>
          </w:p>
        </w:tc>
      </w:tr>
    </w:tbl>
    <w:p w14:paraId="0BFD528E">
      <w:pPr>
        <w:spacing w:after="100" w:afterAutospacing="1"/>
        <w:ind w:left="415" w:leftChars="0" w:hanging="415" w:hangingChars="173"/>
        <w:rPr>
          <w:rFonts w:hint="eastAsia" w:ascii="宋体" w:hAnsi="宋体" w:eastAsia="宋体" w:cs="宋体"/>
          <w:sz w:val="24"/>
          <w:szCs w:val="24"/>
          <w:highlight w:val="none"/>
          <w:lang w:eastAsia="zh-CN"/>
        </w:rPr>
      </w:pPr>
    </w:p>
    <w:p w14:paraId="68209055">
      <w:pPr>
        <w:pStyle w:val="31"/>
        <w:numPr>
          <w:ilvl w:val="0"/>
          <w:numId w:val="12"/>
        </w:numPr>
        <w:spacing w:line="360" w:lineRule="auto"/>
        <w:ind w:left="624" w:leftChars="0" w:hanging="624" w:firstLineChars="0"/>
        <w:rPr>
          <w:rFonts w:hint="eastAsia" w:ascii="宋体" w:hAnsi="宋体" w:eastAsia="宋体" w:cs="宋体"/>
          <w:b/>
          <w:sz w:val="24"/>
          <w:szCs w:val="24"/>
          <w:highlight w:val="none"/>
        </w:rPr>
      </w:pPr>
      <w:r>
        <w:rPr>
          <w:rFonts w:hint="eastAsia" w:ascii="宋体" w:hAnsi="宋体" w:eastAsia="宋体" w:cs="宋体"/>
          <w:b/>
          <w:sz w:val="24"/>
          <w:szCs w:val="24"/>
          <w:highlight w:val="none"/>
          <w:lang w:eastAsia="zh-CN"/>
        </w:rPr>
        <w:t>本项目</w:t>
      </w:r>
      <w:r>
        <w:rPr>
          <w:rFonts w:hint="eastAsia" w:ascii="宋体" w:hAnsi="宋体" w:eastAsia="宋体" w:cs="宋体"/>
          <w:b/>
          <w:sz w:val="24"/>
          <w:szCs w:val="24"/>
          <w:highlight w:val="none"/>
        </w:rPr>
        <w:t>验收要求</w:t>
      </w:r>
    </w:p>
    <w:p w14:paraId="049F6E98">
      <w:pPr>
        <w:pStyle w:val="31"/>
        <w:numPr>
          <w:ilvl w:val="1"/>
          <w:numId w:val="12"/>
        </w:numPr>
        <w:spacing w:line="360" w:lineRule="auto"/>
        <w:ind w:left="624" w:leftChars="0" w:hanging="624" w:firstLineChars="0"/>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中标人</w:t>
      </w:r>
      <w:r>
        <w:rPr>
          <w:rFonts w:hint="eastAsia" w:ascii="宋体" w:hAnsi="宋体" w:eastAsia="宋体" w:cs="宋体"/>
          <w:sz w:val="24"/>
          <w:szCs w:val="24"/>
          <w:highlight w:val="none"/>
        </w:rPr>
        <w:t>须为验收提供必需的一切条件及相关费用。</w:t>
      </w:r>
    </w:p>
    <w:p w14:paraId="6F19068F">
      <w:pPr>
        <w:pStyle w:val="31"/>
        <w:numPr>
          <w:ilvl w:val="1"/>
          <w:numId w:val="12"/>
        </w:numPr>
        <w:spacing w:line="360" w:lineRule="auto"/>
        <w:ind w:left="624" w:leftChars="0" w:hanging="624" w:firstLineChars="0"/>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rPr>
        <w:t>项目验收依次序对照执行标准</w:t>
      </w:r>
    </w:p>
    <w:p w14:paraId="79BB5290">
      <w:pPr>
        <w:pStyle w:val="31"/>
        <w:numPr>
          <w:ilvl w:val="2"/>
          <w:numId w:val="12"/>
        </w:numPr>
        <w:spacing w:line="360" w:lineRule="auto"/>
        <w:ind w:left="709" w:leftChars="0" w:hanging="289" w:firstLineChars="0"/>
        <w:rPr>
          <w:rFonts w:hint="eastAsia" w:ascii="宋体" w:hAnsi="宋体" w:eastAsia="宋体" w:cs="宋体"/>
          <w:sz w:val="24"/>
          <w:szCs w:val="24"/>
          <w:highlight w:val="none"/>
        </w:rPr>
      </w:pPr>
      <w:r>
        <w:rPr>
          <w:rFonts w:hint="eastAsia" w:ascii="宋体" w:hAnsi="宋体" w:eastAsia="宋体" w:cs="宋体"/>
          <w:sz w:val="24"/>
          <w:szCs w:val="24"/>
          <w:highlight w:val="none"/>
        </w:rPr>
        <w:t>符合中华人民共和国国家和履约地相关安全质量标准、行业技术规范标准。</w:t>
      </w:r>
    </w:p>
    <w:p w14:paraId="5405F450">
      <w:pPr>
        <w:pStyle w:val="31"/>
        <w:numPr>
          <w:ilvl w:val="2"/>
          <w:numId w:val="12"/>
        </w:numPr>
        <w:spacing w:line="360" w:lineRule="auto"/>
        <w:ind w:left="709" w:leftChars="0" w:hanging="289" w:firstLineChars="0"/>
        <w:rPr>
          <w:rFonts w:hint="eastAsia" w:ascii="宋体" w:hAnsi="宋体" w:eastAsia="宋体" w:cs="宋体"/>
          <w:sz w:val="24"/>
          <w:szCs w:val="24"/>
          <w:highlight w:val="none"/>
        </w:rPr>
      </w:pPr>
      <w:r>
        <w:rPr>
          <w:rFonts w:hint="eastAsia" w:ascii="宋体" w:hAnsi="宋体" w:eastAsia="宋体" w:cs="宋体"/>
          <w:sz w:val="24"/>
          <w:szCs w:val="24"/>
          <w:highlight w:val="none"/>
        </w:rPr>
        <w:t>符合招标文件和投标承诺中各方共同认可的各项合理要求；</w:t>
      </w:r>
    </w:p>
    <w:p w14:paraId="2D3A31AD">
      <w:pPr>
        <w:pStyle w:val="31"/>
        <w:numPr>
          <w:ilvl w:val="2"/>
          <w:numId w:val="12"/>
        </w:numPr>
        <w:spacing w:line="360" w:lineRule="auto"/>
        <w:ind w:left="709" w:leftChars="0" w:hanging="289" w:firstLineChars="0"/>
        <w:rPr>
          <w:rFonts w:hint="eastAsia" w:ascii="宋体" w:hAnsi="宋体" w:eastAsia="宋体" w:cs="宋体"/>
          <w:sz w:val="24"/>
          <w:szCs w:val="24"/>
          <w:highlight w:val="none"/>
          <w:lang w:val="zh-CN"/>
        </w:rPr>
      </w:pPr>
      <w:r>
        <w:rPr>
          <w:rFonts w:hint="eastAsia" w:ascii="宋体" w:hAnsi="宋体" w:eastAsia="宋体" w:cs="宋体"/>
          <w:sz w:val="24"/>
          <w:szCs w:val="24"/>
          <w:highlight w:val="none"/>
        </w:rPr>
        <w:t>上述各类标准与法规必须是有关官方机构最新发布的现行标准版本</w:t>
      </w:r>
      <w:r>
        <w:rPr>
          <w:rFonts w:hint="eastAsia" w:ascii="宋体" w:hAnsi="宋体" w:eastAsia="宋体" w:cs="宋体"/>
          <w:sz w:val="24"/>
          <w:szCs w:val="24"/>
          <w:highlight w:val="none"/>
          <w:lang w:val="zh-CN"/>
        </w:rPr>
        <w:t>。</w:t>
      </w:r>
    </w:p>
    <w:p w14:paraId="236155FE">
      <w:pPr>
        <w:pStyle w:val="31"/>
        <w:numPr>
          <w:ilvl w:val="0"/>
          <w:numId w:val="0"/>
        </w:numPr>
        <w:spacing w:line="360" w:lineRule="auto"/>
        <w:ind w:leftChars="0"/>
        <w:rPr>
          <w:rFonts w:hint="eastAsia" w:ascii="宋体" w:hAnsi="宋体" w:eastAsia="宋体" w:cs="宋体"/>
          <w:b/>
          <w:sz w:val="24"/>
          <w:szCs w:val="24"/>
          <w:highlight w:val="none"/>
        </w:rPr>
      </w:pPr>
    </w:p>
    <w:p w14:paraId="03EDE72F">
      <w:pPr>
        <w:pStyle w:val="31"/>
        <w:numPr>
          <w:ilvl w:val="0"/>
          <w:numId w:val="12"/>
        </w:numPr>
        <w:spacing w:line="360" w:lineRule="auto"/>
        <w:ind w:left="624" w:leftChars="0" w:hanging="624" w:firstLineChars="0"/>
        <w:rPr>
          <w:rFonts w:hint="eastAsia" w:ascii="宋体" w:hAnsi="宋体" w:eastAsia="宋体" w:cs="宋体"/>
          <w:b/>
          <w:sz w:val="24"/>
          <w:szCs w:val="24"/>
          <w:highlight w:val="none"/>
        </w:rPr>
      </w:pPr>
      <w:r>
        <w:rPr>
          <w:rFonts w:hint="eastAsia" w:ascii="宋体" w:hAnsi="宋体" w:eastAsia="宋体" w:cs="宋体"/>
          <w:b/>
          <w:sz w:val="24"/>
          <w:szCs w:val="24"/>
          <w:highlight w:val="none"/>
          <w:lang w:eastAsia="zh-CN"/>
        </w:rPr>
        <w:t>招标人</w:t>
      </w:r>
      <w:r>
        <w:rPr>
          <w:rFonts w:hint="eastAsia" w:ascii="宋体" w:hAnsi="宋体" w:eastAsia="宋体" w:cs="宋体"/>
          <w:b/>
          <w:sz w:val="24"/>
          <w:szCs w:val="24"/>
          <w:highlight w:val="none"/>
        </w:rPr>
        <w:t>的权利和义务</w:t>
      </w:r>
    </w:p>
    <w:p w14:paraId="10C4D6AB">
      <w:pPr>
        <w:pStyle w:val="31"/>
        <w:numPr>
          <w:ilvl w:val="1"/>
          <w:numId w:val="12"/>
        </w:numPr>
        <w:spacing w:line="360" w:lineRule="auto"/>
        <w:ind w:left="624" w:leftChars="0" w:hanging="624" w:firstLineChars="0"/>
        <w:rPr>
          <w:rFonts w:hint="eastAsia" w:ascii="宋体" w:hAnsi="宋体" w:eastAsia="宋体" w:cs="宋体"/>
          <w:sz w:val="24"/>
          <w:szCs w:val="24"/>
          <w:highlight w:val="none"/>
        </w:rPr>
      </w:pPr>
      <w:r>
        <w:rPr>
          <w:rFonts w:hint="eastAsia" w:ascii="宋体" w:hAnsi="宋体" w:eastAsia="宋体" w:cs="宋体"/>
          <w:sz w:val="24"/>
          <w:szCs w:val="24"/>
          <w:highlight w:val="none"/>
          <w:lang w:eastAsia="zh-CN"/>
        </w:rPr>
        <w:t>招标人</w:t>
      </w:r>
      <w:r>
        <w:rPr>
          <w:rFonts w:hint="eastAsia" w:ascii="宋体" w:hAnsi="宋体" w:eastAsia="宋体" w:cs="宋体"/>
          <w:sz w:val="24"/>
          <w:szCs w:val="24"/>
          <w:highlight w:val="none"/>
        </w:rPr>
        <w:t>有权向</w:t>
      </w:r>
      <w:r>
        <w:rPr>
          <w:rFonts w:hint="eastAsia" w:ascii="宋体" w:hAnsi="宋体" w:eastAsia="宋体" w:cs="宋体"/>
          <w:sz w:val="24"/>
          <w:szCs w:val="24"/>
          <w:highlight w:val="none"/>
          <w:lang w:eastAsia="zh-CN"/>
        </w:rPr>
        <w:t>中标人</w:t>
      </w:r>
      <w:r>
        <w:rPr>
          <w:rFonts w:hint="eastAsia" w:ascii="宋体" w:hAnsi="宋体" w:eastAsia="宋体" w:cs="宋体"/>
          <w:sz w:val="24"/>
          <w:szCs w:val="24"/>
          <w:highlight w:val="none"/>
        </w:rPr>
        <w:t>提出采购项目服务的意见和建议</w:t>
      </w:r>
      <w:r>
        <w:rPr>
          <w:rFonts w:hint="eastAsia" w:ascii="宋体" w:hAnsi="宋体" w:eastAsia="宋体" w:cs="宋体"/>
          <w:sz w:val="24"/>
          <w:szCs w:val="24"/>
          <w:highlight w:val="none"/>
          <w:lang w:eastAsia="zh-CN"/>
        </w:rPr>
        <w:t>。</w:t>
      </w:r>
    </w:p>
    <w:p w14:paraId="6D13D1FA">
      <w:pPr>
        <w:pStyle w:val="31"/>
        <w:numPr>
          <w:ilvl w:val="1"/>
          <w:numId w:val="12"/>
        </w:numPr>
        <w:spacing w:line="360" w:lineRule="auto"/>
        <w:ind w:left="624" w:leftChars="0" w:hanging="624" w:firstLineChars="0"/>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招标人有义务配合中标人做好各项日常管理工作，中标人应根据招标人建议制定有关管理制度和措施执行。招标人有权对中标人的管理方案进行检查及合理修改，共同优化管理工作。</w:t>
      </w:r>
    </w:p>
    <w:p w14:paraId="698FCE95">
      <w:pPr>
        <w:pStyle w:val="31"/>
        <w:numPr>
          <w:ilvl w:val="1"/>
          <w:numId w:val="12"/>
        </w:numPr>
        <w:spacing w:line="360" w:lineRule="auto"/>
        <w:ind w:left="624" w:leftChars="0" w:hanging="624" w:firstLineChars="0"/>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招标人有权对中标人的日常管理工作进行监管检查，每季度进行一次全面考核评定，如中标人因管理不善或管理失误，给招标人造成严重负面影响或导致经济受损的，招标人有权单方面终止合同，并视中标人根本违约处理（</w:t>
      </w:r>
      <w:r>
        <w:rPr>
          <w:rFonts w:hint="eastAsia" w:ascii="宋体" w:hAnsi="宋体" w:cs="宋体"/>
          <w:sz w:val="24"/>
          <w:szCs w:val="24"/>
          <w:highlight w:val="none"/>
          <w:lang w:val="en-US" w:eastAsia="zh-CN"/>
        </w:rPr>
        <w:t>不予退还合同履约保证金</w:t>
      </w:r>
      <w:r>
        <w:rPr>
          <w:rFonts w:hint="eastAsia" w:ascii="宋体" w:hAnsi="宋体" w:eastAsia="宋体" w:cs="宋体"/>
          <w:sz w:val="24"/>
          <w:szCs w:val="24"/>
          <w:highlight w:val="none"/>
          <w:lang w:val="en-US" w:eastAsia="zh-CN"/>
        </w:rPr>
        <w:t>和不退回已交的服务费，中标人投入建设安装的一切设施设备无偿归招标人所有，并赔偿招标人的经济损失）。</w:t>
      </w:r>
    </w:p>
    <w:p w14:paraId="1F472320">
      <w:pPr>
        <w:pStyle w:val="31"/>
        <w:numPr>
          <w:ilvl w:val="1"/>
          <w:numId w:val="12"/>
        </w:numPr>
        <w:spacing w:line="360" w:lineRule="auto"/>
        <w:ind w:left="624" w:leftChars="0" w:hanging="624" w:firstLineChars="0"/>
        <w:rPr>
          <w:rFonts w:hint="eastAsia" w:ascii="宋体" w:hAnsi="宋体" w:eastAsia="宋体" w:cs="宋体"/>
          <w:color w:val="auto"/>
          <w:sz w:val="24"/>
          <w:szCs w:val="24"/>
          <w:highlight w:val="none"/>
          <w:lang w:val="en-US" w:eastAsia="zh-CN"/>
        </w:rPr>
      </w:pPr>
      <w:r>
        <w:rPr>
          <w:rFonts w:hint="eastAsia" w:ascii="宋体" w:hAnsi="宋体" w:eastAsia="宋体" w:cs="宋体"/>
          <w:sz w:val="24"/>
          <w:szCs w:val="24"/>
          <w:highlight w:val="none"/>
          <w:lang w:val="en-US" w:eastAsia="zh-CN"/>
        </w:rPr>
        <w:t>招标人为确保其依法具有收取车辆管理费的资格及权利，已严格按照有关法律程序研究制定出相关的收费及管理的村规民约，并经党员及村民代表大会表决通过及予以公布后实施，以便于中标人按规定管理及收费。在收费过程中所产生的纠纷投诉，中标人应自行负责处理。重</w:t>
      </w:r>
      <w:r>
        <w:rPr>
          <w:rFonts w:hint="eastAsia" w:ascii="宋体" w:hAnsi="宋体" w:eastAsia="宋体" w:cs="宋体"/>
          <w:color w:val="auto"/>
          <w:sz w:val="24"/>
          <w:szCs w:val="24"/>
          <w:highlight w:val="none"/>
          <w:lang w:val="en-US" w:eastAsia="zh-CN"/>
        </w:rPr>
        <w:t>大事件招标人有义务协助处理。</w:t>
      </w:r>
    </w:p>
    <w:p w14:paraId="2C03CC9E">
      <w:pPr>
        <w:pStyle w:val="31"/>
        <w:numPr>
          <w:ilvl w:val="1"/>
          <w:numId w:val="12"/>
        </w:numPr>
        <w:spacing w:line="360" w:lineRule="auto"/>
        <w:ind w:left="624" w:leftChars="0" w:hanging="624" w:firstLineChars="0"/>
        <w:rPr>
          <w:rFonts w:hint="eastAsia" w:ascii="宋体" w:hAnsi="宋体" w:eastAsia="宋体" w:cs="宋体"/>
          <w:b/>
          <w:color w:val="auto"/>
          <w:sz w:val="24"/>
          <w:szCs w:val="24"/>
          <w:highlight w:val="none"/>
        </w:rPr>
      </w:pPr>
      <w:r>
        <w:rPr>
          <w:rFonts w:hint="eastAsia" w:ascii="宋体" w:hAnsi="宋体" w:eastAsia="宋体" w:cs="宋体"/>
          <w:color w:val="auto"/>
          <w:sz w:val="24"/>
          <w:szCs w:val="24"/>
          <w:highlight w:val="none"/>
          <w:lang w:val="en-US" w:eastAsia="zh-CN"/>
        </w:rPr>
        <w:t>招标人对本辖区内的所有土地拥有使用权，中标人如需规划增设停车位置时必经招标人同意。设置停车位置的土地，如遇招标人开发使用时，中标人无条件配合执行</w:t>
      </w:r>
      <w:r>
        <w:rPr>
          <w:rFonts w:hint="eastAsia" w:ascii="宋体" w:hAnsi="宋体" w:eastAsia="宋体" w:cs="宋体"/>
          <w:color w:val="auto"/>
          <w:sz w:val="24"/>
          <w:szCs w:val="24"/>
          <w:highlight w:val="none"/>
        </w:rPr>
        <w:t>。</w:t>
      </w:r>
    </w:p>
    <w:p w14:paraId="1E830F38">
      <w:pPr>
        <w:pStyle w:val="31"/>
        <w:numPr>
          <w:ilvl w:val="0"/>
          <w:numId w:val="0"/>
        </w:numPr>
        <w:spacing w:line="360" w:lineRule="auto"/>
        <w:ind w:leftChars="0"/>
        <w:rPr>
          <w:rFonts w:hint="eastAsia" w:ascii="宋体" w:hAnsi="宋体" w:eastAsia="宋体" w:cs="宋体"/>
          <w:b/>
          <w:color w:val="auto"/>
          <w:sz w:val="24"/>
          <w:szCs w:val="24"/>
          <w:highlight w:val="none"/>
        </w:rPr>
      </w:pPr>
    </w:p>
    <w:p w14:paraId="78770050">
      <w:pPr>
        <w:pStyle w:val="31"/>
        <w:numPr>
          <w:ilvl w:val="0"/>
          <w:numId w:val="12"/>
        </w:numPr>
        <w:spacing w:line="360" w:lineRule="auto"/>
        <w:ind w:left="624" w:leftChars="0" w:hanging="624" w:firstLineChars="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lang w:eastAsia="zh-CN"/>
        </w:rPr>
        <w:t>中标人</w:t>
      </w:r>
      <w:r>
        <w:rPr>
          <w:rFonts w:hint="eastAsia" w:ascii="宋体" w:hAnsi="宋体" w:eastAsia="宋体" w:cs="宋体"/>
          <w:b/>
          <w:color w:val="auto"/>
          <w:sz w:val="24"/>
          <w:szCs w:val="24"/>
          <w:highlight w:val="none"/>
        </w:rPr>
        <w:t>的权利和义务</w:t>
      </w:r>
    </w:p>
    <w:p w14:paraId="408161AC">
      <w:pPr>
        <w:pStyle w:val="31"/>
        <w:numPr>
          <w:ilvl w:val="1"/>
          <w:numId w:val="12"/>
        </w:numPr>
        <w:tabs>
          <w:tab w:val="left" w:pos="420"/>
        </w:tabs>
        <w:spacing w:line="360" w:lineRule="auto"/>
        <w:ind w:left="424" w:leftChars="0" w:hanging="424" w:firstLineChars="0"/>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中标人要根据国家的有关法律、法规、政策及</w:t>
      </w:r>
      <w:r>
        <w:rPr>
          <w:rFonts w:hint="eastAsia" w:ascii="宋体" w:hAnsi="宋体" w:cs="宋体"/>
          <w:sz w:val="24"/>
          <w:szCs w:val="24"/>
          <w:highlight w:val="none"/>
          <w:lang w:val="en-US" w:eastAsia="zh-CN"/>
        </w:rPr>
        <w:t>合同</w:t>
      </w:r>
      <w:r>
        <w:rPr>
          <w:rFonts w:hint="eastAsia" w:ascii="宋体" w:hAnsi="宋体" w:eastAsia="宋体" w:cs="宋体"/>
          <w:sz w:val="24"/>
          <w:szCs w:val="24"/>
          <w:highlight w:val="none"/>
          <w:lang w:val="en-US" w:eastAsia="zh-CN"/>
        </w:rPr>
        <w:t>的有关规定，在不违反</w:t>
      </w:r>
      <w:r>
        <w:rPr>
          <w:rFonts w:hint="eastAsia" w:ascii="宋体" w:hAnsi="宋体" w:cs="宋体"/>
          <w:sz w:val="24"/>
          <w:szCs w:val="24"/>
          <w:highlight w:val="none"/>
          <w:lang w:val="en-US" w:eastAsia="zh-CN"/>
        </w:rPr>
        <w:t>合同</w:t>
      </w:r>
      <w:r>
        <w:rPr>
          <w:rFonts w:hint="eastAsia" w:ascii="宋体" w:hAnsi="宋体" w:eastAsia="宋体" w:cs="宋体"/>
          <w:sz w:val="24"/>
          <w:szCs w:val="24"/>
          <w:highlight w:val="none"/>
          <w:lang w:val="en-US" w:eastAsia="zh-CN"/>
        </w:rPr>
        <w:t>规定的基础上，自行制定有关规章制度车辆管理办法、实施细则等规定，中标人的管理工作不得影响招标人工作人员的日常正常工作。</w:t>
      </w:r>
    </w:p>
    <w:p w14:paraId="43146126">
      <w:pPr>
        <w:pStyle w:val="31"/>
        <w:numPr>
          <w:ilvl w:val="1"/>
          <w:numId w:val="12"/>
        </w:numPr>
        <w:tabs>
          <w:tab w:val="left" w:pos="420"/>
        </w:tabs>
        <w:spacing w:line="360" w:lineRule="auto"/>
        <w:ind w:left="424" w:leftChars="0" w:hanging="424" w:firstLineChars="0"/>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中标人要严格按照招标人制定的车辆管理收费标准进行收取车辆管理费。并提供优质的停车管理及道路交通管理服务，不得出现只收费不服务或多收费少服务的行为，如发现有，经指出不改的，视为中标人根本违约，招标人有权单方面解除合同，</w:t>
      </w:r>
      <w:r>
        <w:rPr>
          <w:rFonts w:hint="eastAsia" w:ascii="宋体" w:hAnsi="宋体" w:cs="宋体"/>
          <w:sz w:val="24"/>
          <w:szCs w:val="24"/>
          <w:highlight w:val="none"/>
          <w:lang w:val="en-US" w:eastAsia="zh-CN"/>
        </w:rPr>
        <w:t>不予退还合同履约保证金</w:t>
      </w:r>
      <w:r>
        <w:rPr>
          <w:rFonts w:hint="eastAsia" w:ascii="宋体" w:hAnsi="宋体" w:eastAsia="宋体" w:cs="宋体"/>
          <w:sz w:val="24"/>
          <w:szCs w:val="24"/>
          <w:highlight w:val="none"/>
          <w:lang w:val="en-US" w:eastAsia="zh-CN"/>
        </w:rPr>
        <w:t>和不退回已交的服务费，中标人投入建设安装的一切设施设备无偿归招标人所有。</w:t>
      </w:r>
    </w:p>
    <w:p w14:paraId="145CCC42">
      <w:pPr>
        <w:pStyle w:val="31"/>
        <w:numPr>
          <w:ilvl w:val="1"/>
          <w:numId w:val="12"/>
        </w:numPr>
        <w:tabs>
          <w:tab w:val="left" w:pos="420"/>
        </w:tabs>
        <w:spacing w:line="360" w:lineRule="auto"/>
        <w:ind w:left="424" w:leftChars="0" w:hanging="424" w:firstLineChars="0"/>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为了日常管理工作能正常运作，中标人必须根据工作需要配置足够的工作人员（不少于3人）并办理好用工手续及购买意外保险。中标人员工不纳入招标人用工编制，不享受招标人员工的福利待遇，与招标人不成立劳动或劳务关系。中标人工作人员在合同期内所发生的安全事故、工伤及劳资纠纷等均由中标人负责，一切责任与招标人无关，如屡屡出现人手不足的现象，视为中标人根本违约，招标人有权单方面解除合同，</w:t>
      </w:r>
      <w:r>
        <w:rPr>
          <w:rFonts w:hint="eastAsia" w:ascii="宋体" w:hAnsi="宋体" w:cs="宋体"/>
          <w:sz w:val="24"/>
          <w:szCs w:val="24"/>
          <w:highlight w:val="none"/>
          <w:lang w:val="en-US" w:eastAsia="zh-CN"/>
        </w:rPr>
        <w:t>不予退还合同履约保证金</w:t>
      </w:r>
      <w:r>
        <w:rPr>
          <w:rFonts w:hint="eastAsia" w:ascii="宋体" w:hAnsi="宋体" w:eastAsia="宋体" w:cs="宋体"/>
          <w:sz w:val="24"/>
          <w:szCs w:val="24"/>
          <w:highlight w:val="none"/>
          <w:lang w:val="en-US" w:eastAsia="zh-CN"/>
        </w:rPr>
        <w:t>和不退回已交的服务费，中标人投入建设安装的一切设施设备无偿归招标人所有。</w:t>
      </w:r>
    </w:p>
    <w:p w14:paraId="18D87F85">
      <w:pPr>
        <w:pStyle w:val="31"/>
        <w:numPr>
          <w:ilvl w:val="1"/>
          <w:numId w:val="12"/>
        </w:numPr>
        <w:tabs>
          <w:tab w:val="left" w:pos="420"/>
        </w:tabs>
        <w:spacing w:line="360" w:lineRule="auto"/>
        <w:ind w:left="424" w:leftChars="0" w:hanging="424" w:firstLineChars="0"/>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中标人要严格督促工作人员做好辖区内的日常道路交通管理巡查工作，确保村内各道闸出入口及各大小村道时刻保持畅通无阻，不得出现有车辆因乱停放而导致阻塞交通的现象发生。如出现有阻塞现象应派人到现场及时处理，如出现有15分钟后还没有人处理的现象，招标人有权收取中标人每次人民币200元的违约金。</w:t>
      </w:r>
    </w:p>
    <w:p w14:paraId="6AE98D54">
      <w:pPr>
        <w:pStyle w:val="31"/>
        <w:numPr>
          <w:ilvl w:val="1"/>
          <w:numId w:val="12"/>
        </w:numPr>
        <w:tabs>
          <w:tab w:val="left" w:pos="420"/>
        </w:tabs>
        <w:spacing w:line="360" w:lineRule="auto"/>
        <w:ind w:left="424" w:leftChars="0" w:hanging="424" w:firstLineChars="0"/>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中标人工作人员上班时要着装统一，工作要吃苦耐劳，勤巡勤查，待人处事需热情服务，如出现有因工作人员礼貌不周或处事不公而导致发生纠纷案和投诉案的，中标人要自行及时设法处理，事后要自查自纠，吸取教训及时整改。合同期内出现三次投诉的，招标人有权解除</w:t>
      </w:r>
      <w:r>
        <w:rPr>
          <w:rFonts w:hint="eastAsia" w:ascii="宋体" w:hAnsi="宋体" w:cs="宋体"/>
          <w:sz w:val="24"/>
          <w:szCs w:val="24"/>
          <w:highlight w:val="none"/>
          <w:lang w:val="en-US" w:eastAsia="zh-CN"/>
        </w:rPr>
        <w:t>合同</w:t>
      </w:r>
      <w:r>
        <w:rPr>
          <w:rFonts w:hint="eastAsia" w:ascii="宋体" w:hAnsi="宋体" w:eastAsia="宋体" w:cs="宋体"/>
          <w:sz w:val="24"/>
          <w:szCs w:val="24"/>
          <w:highlight w:val="none"/>
          <w:lang w:val="en-US" w:eastAsia="zh-CN"/>
        </w:rPr>
        <w:t>，并视中标人违约</w:t>
      </w:r>
      <w:r>
        <w:rPr>
          <w:rFonts w:hint="eastAsia" w:ascii="宋体" w:hAnsi="宋体" w:cs="宋体"/>
          <w:sz w:val="24"/>
          <w:szCs w:val="24"/>
          <w:highlight w:val="none"/>
          <w:lang w:val="en-US" w:eastAsia="zh-CN"/>
        </w:rPr>
        <w:t>不予退还合同履约保证金</w:t>
      </w:r>
      <w:r>
        <w:rPr>
          <w:rFonts w:hint="eastAsia" w:ascii="宋体" w:hAnsi="宋体" w:eastAsia="宋体" w:cs="宋体"/>
          <w:sz w:val="24"/>
          <w:szCs w:val="24"/>
          <w:highlight w:val="none"/>
          <w:lang w:val="en-US" w:eastAsia="zh-CN"/>
        </w:rPr>
        <w:t>以作为招标人的经济补偿。</w:t>
      </w:r>
    </w:p>
    <w:p w14:paraId="0BEA7F49">
      <w:pPr>
        <w:pStyle w:val="31"/>
        <w:numPr>
          <w:ilvl w:val="1"/>
          <w:numId w:val="12"/>
        </w:numPr>
        <w:tabs>
          <w:tab w:val="left" w:pos="420"/>
        </w:tabs>
        <w:spacing w:line="360" w:lineRule="auto"/>
        <w:ind w:left="424" w:leftChars="0" w:hanging="424" w:firstLineChars="0"/>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为了切实做好车辆的有序停放管理，中标人要适时对辖区内的停车位进行合理规划设置。将本地车位与外地临时车位进行区分管理，中标人应严格管理控制禁止外来车辆在本地车位上停放过夜。本村辖区内的村民住宅以外的车位均为共享车位，禁止私装地锁或摆设物品霸占，否则中标人有权</w:t>
      </w:r>
      <w:r>
        <w:rPr>
          <w:rFonts w:hint="eastAsia" w:ascii="宋体" w:hAnsi="宋体" w:cs="宋体"/>
          <w:sz w:val="24"/>
          <w:szCs w:val="24"/>
          <w:highlight w:val="none"/>
          <w:lang w:val="en-US" w:eastAsia="zh-CN"/>
        </w:rPr>
        <w:t>不予退还</w:t>
      </w:r>
      <w:r>
        <w:rPr>
          <w:rFonts w:hint="eastAsia" w:ascii="宋体" w:hAnsi="宋体" w:eastAsia="宋体" w:cs="宋体"/>
          <w:sz w:val="24"/>
          <w:szCs w:val="24"/>
          <w:highlight w:val="none"/>
          <w:lang w:val="en-US" w:eastAsia="zh-CN"/>
        </w:rPr>
        <w:t>处理。</w:t>
      </w:r>
    </w:p>
    <w:p w14:paraId="06E9F727">
      <w:pPr>
        <w:pStyle w:val="31"/>
        <w:numPr>
          <w:ilvl w:val="1"/>
          <w:numId w:val="12"/>
        </w:numPr>
        <w:tabs>
          <w:tab w:val="left" w:pos="420"/>
        </w:tabs>
        <w:spacing w:line="360" w:lineRule="auto"/>
        <w:ind w:left="424" w:leftChars="0" w:hanging="424" w:firstLineChars="0"/>
        <w:rPr>
          <w:rFonts w:hint="eastAsia" w:ascii="宋体" w:hAnsi="宋体" w:eastAsia="宋体" w:cs="宋体"/>
          <w:b/>
          <w:color w:val="auto"/>
          <w:sz w:val="24"/>
          <w:szCs w:val="24"/>
          <w:highlight w:val="none"/>
        </w:rPr>
      </w:pPr>
      <w:r>
        <w:rPr>
          <w:rFonts w:hint="eastAsia" w:ascii="宋体" w:hAnsi="宋体" w:eastAsia="宋体" w:cs="宋体"/>
          <w:sz w:val="24"/>
          <w:szCs w:val="24"/>
          <w:highlight w:val="none"/>
          <w:lang w:val="en-US" w:eastAsia="zh-CN"/>
        </w:rPr>
        <w:t>中标人在签订合同后，根据现时村内情况，对辖区内破旧车位重新划热熔线（破旧车位数待定），并完善所有道路标识、道路监控以及部分停车位设施。统一完善后，中标人也要对车位划线、道路标识、停车设施等定期检查及维护更新，对危险路段及停车场等做好交通标志指示牌的安装，以起到警示作用（如禁停牌、限速牌、限重牌、停车场标识、凸面广角镜等）。上述所产生的一切费用均由中标人承担。</w:t>
      </w:r>
    </w:p>
    <w:p w14:paraId="3A6D56E3">
      <w:pPr>
        <w:pStyle w:val="31"/>
        <w:numPr>
          <w:ilvl w:val="1"/>
          <w:numId w:val="12"/>
        </w:numPr>
        <w:tabs>
          <w:tab w:val="left" w:pos="420"/>
        </w:tabs>
        <w:spacing w:line="360" w:lineRule="auto"/>
        <w:ind w:left="424" w:leftChars="0" w:hanging="424" w:firstLineChars="0"/>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平时需对所有设备进行维护、保养以确保其正常运行工作。在合同期内，中标人对车辆管理的设备维护更新或增设等费用均由中标人承担。合同期满后，中标人须要将所有设备（含新建和原有的硬件与软件）及各类管理档案资料等正常完好地无偿移交给招标人。如有损坏，招标人有权请人进行修复，但所产生费用均由中标人支付或从</w:t>
      </w:r>
      <w:r>
        <w:rPr>
          <w:rFonts w:hint="eastAsia" w:ascii="宋体" w:hAnsi="宋体" w:cs="宋体"/>
          <w:sz w:val="24"/>
          <w:szCs w:val="24"/>
          <w:highlight w:val="none"/>
          <w:lang w:val="en-US" w:eastAsia="zh-CN"/>
        </w:rPr>
        <w:t>合同履约</w:t>
      </w:r>
      <w:r>
        <w:rPr>
          <w:rFonts w:hint="eastAsia" w:ascii="宋体" w:hAnsi="宋体" w:eastAsia="宋体" w:cs="宋体"/>
          <w:sz w:val="24"/>
          <w:szCs w:val="24"/>
          <w:highlight w:val="none"/>
          <w:lang w:val="en-US" w:eastAsia="zh-CN"/>
        </w:rPr>
        <w:t>保证金处扣除。</w:t>
      </w:r>
    </w:p>
    <w:p w14:paraId="5568CEAB">
      <w:pPr>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br w:type="page"/>
      </w:r>
    </w:p>
    <w:p w14:paraId="5CBAE4C9">
      <w:pPr>
        <w:jc w:val="center"/>
        <w:rPr>
          <w:rFonts w:hint="eastAsia" w:ascii="宋体" w:hAnsi="宋体" w:eastAsia="宋体" w:cs="Times New Roman"/>
          <w:b/>
          <w:color w:val="auto"/>
          <w:kern w:val="2"/>
          <w:sz w:val="36"/>
          <w:szCs w:val="36"/>
          <w:highlight w:val="none"/>
          <w:lang w:val="en-US" w:eastAsia="zh-CN" w:bidi="ar-SA"/>
        </w:rPr>
      </w:pPr>
      <w:r>
        <w:rPr>
          <w:rFonts w:hint="eastAsia" w:ascii="宋体" w:hAnsi="宋体" w:eastAsia="宋体" w:cs="Times New Roman"/>
          <w:b/>
          <w:color w:val="auto"/>
          <w:kern w:val="2"/>
          <w:sz w:val="36"/>
          <w:szCs w:val="36"/>
          <w:highlight w:val="none"/>
          <w:lang w:val="en-US" w:eastAsia="zh-CN" w:bidi="ar-SA"/>
        </w:rPr>
        <w:t>第三部分</w:t>
      </w:r>
      <w:r>
        <w:rPr>
          <w:rFonts w:hint="eastAsia" w:ascii="宋体" w:hAnsi="宋体" w:cs="Times New Roman"/>
          <w:b/>
          <w:color w:val="auto"/>
          <w:kern w:val="2"/>
          <w:sz w:val="36"/>
          <w:szCs w:val="36"/>
          <w:highlight w:val="none"/>
          <w:lang w:val="en-US" w:eastAsia="zh-CN" w:bidi="ar-SA"/>
        </w:rPr>
        <w:t xml:space="preserve">  </w:t>
      </w:r>
      <w:r>
        <w:rPr>
          <w:rFonts w:hint="eastAsia" w:ascii="宋体" w:hAnsi="宋体" w:eastAsia="宋体" w:cs="Times New Roman"/>
          <w:b/>
          <w:color w:val="auto"/>
          <w:kern w:val="2"/>
          <w:sz w:val="36"/>
          <w:szCs w:val="36"/>
          <w:highlight w:val="none"/>
          <w:lang w:val="en-US" w:eastAsia="zh-CN" w:bidi="ar-SA"/>
        </w:rPr>
        <w:t>投标人须知</w:t>
      </w:r>
      <w:bookmarkEnd w:id="26"/>
      <w:bookmarkEnd w:id="27"/>
      <w:bookmarkEnd w:id="28"/>
      <w:bookmarkEnd w:id="29"/>
    </w:p>
    <w:p w14:paraId="5F7A1701">
      <w:pPr>
        <w:jc w:val="center"/>
        <w:rPr>
          <w:rFonts w:hint="eastAsia" w:ascii="宋体" w:hAnsi="宋体" w:eastAsia="宋体" w:cs="Times New Roman"/>
          <w:b/>
          <w:color w:val="auto"/>
          <w:kern w:val="2"/>
          <w:sz w:val="36"/>
          <w:szCs w:val="36"/>
          <w:highlight w:val="none"/>
          <w:lang w:val="en-US" w:eastAsia="zh-CN" w:bidi="ar-SA"/>
        </w:rPr>
      </w:pPr>
    </w:p>
    <w:p w14:paraId="0C9612B7">
      <w:pPr>
        <w:spacing w:after="72" w:afterLines="30" w:line="336" w:lineRule="auto"/>
        <w:ind w:right="-178" w:rightChars="-85"/>
        <w:jc w:val="center"/>
        <w:outlineLvl w:val="1"/>
        <w:rPr>
          <w:rFonts w:ascii="宋体"/>
          <w:b/>
          <w:color w:val="auto"/>
          <w:sz w:val="28"/>
          <w:szCs w:val="28"/>
          <w:highlight w:val="none"/>
        </w:rPr>
      </w:pPr>
      <w:bookmarkStart w:id="31" w:name="_Toc519"/>
      <w:bookmarkStart w:id="32" w:name="_Toc334432589"/>
      <w:bookmarkStart w:id="33" w:name="_Toc14893"/>
      <w:bookmarkStart w:id="34" w:name="_Toc488"/>
      <w:bookmarkStart w:id="35" w:name="_Toc4244"/>
      <w:r>
        <w:rPr>
          <w:rFonts w:hint="eastAsia" w:ascii="宋体" w:hAnsi="宋体"/>
          <w:b/>
          <w:color w:val="auto"/>
          <w:sz w:val="28"/>
          <w:szCs w:val="28"/>
          <w:highlight w:val="none"/>
        </w:rPr>
        <w:t>一、</w:t>
      </w:r>
      <w:r>
        <w:rPr>
          <w:rFonts w:hint="eastAsia" w:ascii="宋体" w:hAnsi="宋体"/>
          <w:b/>
          <w:color w:val="auto"/>
          <w:sz w:val="28"/>
          <w:szCs w:val="28"/>
          <w:highlight w:val="none"/>
          <w:lang w:eastAsia="zh-CN"/>
        </w:rPr>
        <w:t>投标</w:t>
      </w:r>
      <w:r>
        <w:rPr>
          <w:rFonts w:hint="eastAsia" w:ascii="宋体" w:hAnsi="宋体"/>
          <w:b/>
          <w:color w:val="auto"/>
          <w:sz w:val="28"/>
          <w:szCs w:val="28"/>
          <w:highlight w:val="none"/>
        </w:rPr>
        <w:t>须知前附表</w:t>
      </w:r>
      <w:bookmarkEnd w:id="31"/>
      <w:bookmarkEnd w:id="32"/>
      <w:bookmarkEnd w:id="33"/>
      <w:bookmarkEnd w:id="34"/>
      <w:bookmarkEnd w:id="35"/>
    </w:p>
    <w:tbl>
      <w:tblPr>
        <w:tblStyle w:val="20"/>
        <w:tblW w:w="961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9"/>
        <w:gridCol w:w="1555"/>
        <w:gridCol w:w="7350"/>
      </w:tblGrid>
      <w:tr w14:paraId="50524E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atLeast"/>
          <w:jc w:val="center"/>
        </w:trPr>
        <w:tc>
          <w:tcPr>
            <w:tcW w:w="709" w:type="dxa"/>
            <w:shd w:val="clear" w:color="auto" w:fill="E6E6E6"/>
            <w:noWrap w:val="0"/>
            <w:vAlign w:val="center"/>
          </w:tcPr>
          <w:p w14:paraId="5F7CF6A1">
            <w:pPr>
              <w:jc w:val="center"/>
              <w:rPr>
                <w:rFonts w:hint="eastAsia" w:asciiTheme="minorEastAsia" w:hAnsiTheme="minorEastAsia" w:eastAsiaTheme="minorEastAsia" w:cstheme="minorEastAsia"/>
                <w:b/>
                <w:color w:val="auto"/>
                <w:sz w:val="24"/>
                <w:szCs w:val="24"/>
                <w:highlight w:val="none"/>
              </w:rPr>
            </w:pPr>
            <w:r>
              <w:rPr>
                <w:rFonts w:hint="eastAsia" w:asciiTheme="minorEastAsia" w:hAnsiTheme="minorEastAsia" w:eastAsiaTheme="minorEastAsia" w:cstheme="minorEastAsia"/>
                <w:b/>
                <w:color w:val="auto"/>
                <w:sz w:val="24"/>
                <w:szCs w:val="24"/>
                <w:highlight w:val="none"/>
              </w:rPr>
              <w:t>序号</w:t>
            </w:r>
          </w:p>
        </w:tc>
        <w:tc>
          <w:tcPr>
            <w:tcW w:w="1555" w:type="dxa"/>
            <w:shd w:val="clear" w:color="auto" w:fill="E6E6E6"/>
            <w:noWrap w:val="0"/>
            <w:vAlign w:val="center"/>
          </w:tcPr>
          <w:p w14:paraId="300F17BF">
            <w:pPr>
              <w:jc w:val="center"/>
              <w:rPr>
                <w:rFonts w:hint="eastAsia" w:asciiTheme="minorEastAsia" w:hAnsiTheme="minorEastAsia" w:eastAsiaTheme="minorEastAsia" w:cstheme="minorEastAsia"/>
                <w:b/>
                <w:color w:val="auto"/>
                <w:sz w:val="24"/>
                <w:szCs w:val="24"/>
                <w:highlight w:val="none"/>
              </w:rPr>
            </w:pPr>
            <w:r>
              <w:rPr>
                <w:rFonts w:hint="eastAsia" w:asciiTheme="minorEastAsia" w:hAnsiTheme="minorEastAsia" w:eastAsiaTheme="minorEastAsia" w:cstheme="minorEastAsia"/>
                <w:b/>
                <w:color w:val="auto"/>
                <w:sz w:val="24"/>
                <w:szCs w:val="24"/>
                <w:highlight w:val="none"/>
              </w:rPr>
              <w:t>内容</w:t>
            </w:r>
          </w:p>
        </w:tc>
        <w:tc>
          <w:tcPr>
            <w:tcW w:w="7350" w:type="dxa"/>
            <w:shd w:val="clear" w:color="auto" w:fill="E6E6E6"/>
            <w:noWrap w:val="0"/>
            <w:vAlign w:val="center"/>
          </w:tcPr>
          <w:p w14:paraId="78D9D4D1">
            <w:pPr>
              <w:jc w:val="center"/>
              <w:rPr>
                <w:rFonts w:hint="eastAsia" w:asciiTheme="minorEastAsia" w:hAnsiTheme="minorEastAsia" w:eastAsiaTheme="minorEastAsia" w:cstheme="minorEastAsia"/>
                <w:b/>
                <w:color w:val="auto"/>
                <w:sz w:val="24"/>
                <w:szCs w:val="24"/>
                <w:highlight w:val="none"/>
              </w:rPr>
            </w:pPr>
            <w:r>
              <w:rPr>
                <w:rFonts w:hint="eastAsia" w:asciiTheme="minorEastAsia" w:hAnsiTheme="minorEastAsia" w:eastAsiaTheme="minorEastAsia" w:cstheme="minorEastAsia"/>
                <w:b/>
                <w:color w:val="auto"/>
                <w:sz w:val="24"/>
                <w:szCs w:val="24"/>
                <w:highlight w:val="none"/>
              </w:rPr>
              <w:t>说明与要求</w:t>
            </w:r>
          </w:p>
        </w:tc>
      </w:tr>
      <w:tr w14:paraId="12D699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2" w:hRule="atLeast"/>
          <w:jc w:val="center"/>
        </w:trPr>
        <w:tc>
          <w:tcPr>
            <w:tcW w:w="709" w:type="dxa"/>
            <w:noWrap w:val="0"/>
            <w:vAlign w:val="center"/>
          </w:tcPr>
          <w:p w14:paraId="549BE530">
            <w:pPr>
              <w:numPr>
                <w:ilvl w:val="0"/>
                <w:numId w:val="14"/>
              </w:numPr>
              <w:tabs>
                <w:tab w:val="left" w:pos="252"/>
                <w:tab w:val="clear" w:pos="420"/>
              </w:tabs>
              <w:ind w:right="-107" w:rightChars="-51"/>
              <w:jc w:val="center"/>
              <w:rPr>
                <w:rFonts w:hint="eastAsia" w:asciiTheme="minorEastAsia" w:hAnsiTheme="minorEastAsia" w:eastAsiaTheme="minorEastAsia" w:cstheme="minorEastAsia"/>
                <w:color w:val="auto"/>
                <w:sz w:val="24"/>
                <w:szCs w:val="24"/>
                <w:highlight w:val="none"/>
              </w:rPr>
            </w:pPr>
          </w:p>
        </w:tc>
        <w:tc>
          <w:tcPr>
            <w:tcW w:w="1555" w:type="dxa"/>
            <w:noWrap w:val="0"/>
            <w:vAlign w:val="center"/>
          </w:tcPr>
          <w:p w14:paraId="49326E7C">
            <w:pPr>
              <w:jc w:val="center"/>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lang w:eastAsia="zh-CN"/>
              </w:rPr>
              <w:t>竞投</w:t>
            </w:r>
            <w:r>
              <w:rPr>
                <w:rFonts w:hint="eastAsia" w:asciiTheme="minorEastAsia" w:hAnsiTheme="minorEastAsia" w:eastAsiaTheme="minorEastAsia" w:cstheme="minorEastAsia"/>
                <w:color w:val="auto"/>
                <w:sz w:val="24"/>
                <w:szCs w:val="24"/>
                <w:highlight w:val="none"/>
              </w:rPr>
              <w:t>保证金</w:t>
            </w:r>
          </w:p>
          <w:p w14:paraId="0D533385">
            <w:pPr>
              <w:jc w:val="center"/>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ab/>
            </w:r>
          </w:p>
        </w:tc>
        <w:tc>
          <w:tcPr>
            <w:tcW w:w="7350" w:type="dxa"/>
            <w:noWrap w:val="0"/>
            <w:vAlign w:val="center"/>
          </w:tcPr>
          <w:p w14:paraId="6F1B3C7C">
            <w:pPr>
              <w:keepNext w:val="0"/>
              <w:keepLines w:val="0"/>
              <w:pageBreakBefore w:val="0"/>
              <w:widowControl w:val="0"/>
              <w:tabs>
                <w:tab w:val="left" w:pos="459"/>
                <w:tab w:val="left" w:pos="601"/>
              </w:tabs>
              <w:kinsoku/>
              <w:wordWrap/>
              <w:overflowPunct/>
              <w:topLinePunct w:val="0"/>
              <w:autoSpaceDE/>
              <w:autoSpaceDN/>
              <w:bidi w:val="0"/>
              <w:adjustRightInd w:val="0"/>
              <w:snapToGrid/>
              <w:spacing w:line="300" w:lineRule="auto"/>
              <w:textAlignment w:val="auto"/>
              <w:rPr>
                <w:rFonts w:hint="eastAsia" w:asciiTheme="minorEastAsia" w:hAnsiTheme="minorEastAsia" w:eastAsiaTheme="minorEastAsia" w:cstheme="minorEastAsia"/>
                <w:color w:val="auto"/>
                <w:sz w:val="24"/>
                <w:szCs w:val="24"/>
                <w:highlight w:val="none"/>
                <w:lang w:eastAsia="zh-CN"/>
              </w:rPr>
            </w:pPr>
            <w:r>
              <w:rPr>
                <w:rFonts w:hint="eastAsia" w:asciiTheme="minorEastAsia" w:hAnsiTheme="minorEastAsia" w:eastAsiaTheme="minorEastAsia" w:cstheme="minorEastAsia"/>
                <w:color w:val="auto"/>
                <w:sz w:val="24"/>
                <w:szCs w:val="24"/>
                <w:highlight w:val="none"/>
                <w:lang w:val="en-US" w:eastAsia="zh-CN"/>
              </w:rPr>
              <w:t>1.</w:t>
            </w:r>
            <w:r>
              <w:rPr>
                <w:rFonts w:hint="eastAsia" w:asciiTheme="minorEastAsia" w:hAnsiTheme="minorEastAsia" w:eastAsiaTheme="minorEastAsia" w:cstheme="minorEastAsia"/>
                <w:color w:val="auto"/>
                <w:sz w:val="24"/>
                <w:szCs w:val="24"/>
                <w:highlight w:val="none"/>
                <w:lang w:eastAsia="zh-CN"/>
              </w:rPr>
              <w:t>竞投</w:t>
            </w:r>
            <w:r>
              <w:rPr>
                <w:rFonts w:hint="eastAsia" w:asciiTheme="minorEastAsia" w:hAnsiTheme="minorEastAsia" w:eastAsiaTheme="minorEastAsia" w:cstheme="minorEastAsia"/>
                <w:color w:val="auto"/>
                <w:sz w:val="24"/>
                <w:szCs w:val="24"/>
                <w:highlight w:val="none"/>
              </w:rPr>
              <w:t>保证金的金额（人民币）：</w:t>
            </w:r>
            <w:r>
              <w:rPr>
                <w:rFonts w:hint="eastAsia" w:asciiTheme="minorEastAsia" w:hAnsiTheme="minorEastAsia" w:eastAsiaTheme="minorEastAsia" w:cstheme="minorEastAsia"/>
                <w:color w:val="auto"/>
                <w:sz w:val="24"/>
                <w:szCs w:val="24"/>
                <w:highlight w:val="none"/>
                <w:lang w:val="en-US" w:eastAsia="zh-CN"/>
              </w:rPr>
              <w:t>5万</w:t>
            </w:r>
            <w:r>
              <w:rPr>
                <w:rFonts w:hint="eastAsia" w:asciiTheme="minorEastAsia" w:hAnsiTheme="minorEastAsia" w:eastAsiaTheme="minorEastAsia" w:cstheme="minorEastAsia"/>
                <w:color w:val="auto"/>
                <w:sz w:val="24"/>
                <w:szCs w:val="24"/>
                <w:highlight w:val="none"/>
              </w:rPr>
              <w:t>元</w:t>
            </w:r>
            <w:r>
              <w:rPr>
                <w:rFonts w:hint="eastAsia" w:asciiTheme="minorEastAsia" w:hAnsiTheme="minorEastAsia" w:eastAsiaTheme="minorEastAsia" w:cstheme="minorEastAsia"/>
                <w:color w:val="auto"/>
                <w:sz w:val="24"/>
                <w:szCs w:val="24"/>
                <w:highlight w:val="none"/>
                <w:lang w:eastAsia="zh-CN"/>
              </w:rPr>
              <w:t>。</w:t>
            </w:r>
          </w:p>
          <w:p w14:paraId="78B986BE">
            <w:pPr>
              <w:keepNext w:val="0"/>
              <w:keepLines w:val="0"/>
              <w:pageBreakBefore w:val="0"/>
              <w:widowControl w:val="0"/>
              <w:tabs>
                <w:tab w:val="left" w:pos="459"/>
                <w:tab w:val="left" w:pos="601"/>
              </w:tabs>
              <w:kinsoku/>
              <w:wordWrap/>
              <w:overflowPunct/>
              <w:topLinePunct w:val="0"/>
              <w:autoSpaceDE/>
              <w:autoSpaceDN/>
              <w:bidi w:val="0"/>
              <w:adjustRightInd w:val="0"/>
              <w:snapToGrid/>
              <w:spacing w:line="300" w:lineRule="auto"/>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lang w:val="en-US" w:eastAsia="zh-CN"/>
              </w:rPr>
              <w:t>2.</w:t>
            </w:r>
            <w:r>
              <w:rPr>
                <w:rFonts w:hint="eastAsia" w:asciiTheme="minorEastAsia" w:hAnsiTheme="minorEastAsia" w:eastAsiaTheme="minorEastAsia" w:cstheme="minorEastAsia"/>
                <w:color w:val="auto"/>
                <w:sz w:val="24"/>
                <w:szCs w:val="24"/>
                <w:highlight w:val="none"/>
                <w:lang w:eastAsia="zh-CN"/>
              </w:rPr>
              <w:t>竞投</w:t>
            </w:r>
            <w:r>
              <w:rPr>
                <w:rFonts w:hint="eastAsia" w:asciiTheme="minorEastAsia" w:hAnsiTheme="minorEastAsia" w:eastAsiaTheme="minorEastAsia" w:cstheme="minorEastAsia"/>
                <w:color w:val="auto"/>
                <w:sz w:val="24"/>
                <w:szCs w:val="24"/>
                <w:highlight w:val="none"/>
              </w:rPr>
              <w:t>保证金的缴纳形式及要求：</w:t>
            </w:r>
          </w:p>
          <w:p w14:paraId="6A0E1A96">
            <w:pPr>
              <w:keepNext w:val="0"/>
              <w:keepLines w:val="0"/>
              <w:pageBreakBefore w:val="0"/>
              <w:widowControl w:val="0"/>
              <w:tabs>
                <w:tab w:val="left" w:pos="459"/>
                <w:tab w:val="left" w:pos="601"/>
              </w:tabs>
              <w:kinsoku/>
              <w:wordWrap/>
              <w:overflowPunct/>
              <w:topLinePunct w:val="0"/>
              <w:autoSpaceDE/>
              <w:autoSpaceDN/>
              <w:bidi w:val="0"/>
              <w:adjustRightInd w:val="0"/>
              <w:snapToGrid/>
              <w:spacing w:line="300" w:lineRule="auto"/>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（1）</w:t>
            </w:r>
            <w:r>
              <w:rPr>
                <w:rFonts w:hint="eastAsia" w:asciiTheme="minorEastAsia" w:hAnsiTheme="minorEastAsia" w:eastAsiaTheme="minorEastAsia" w:cstheme="minorEastAsia"/>
                <w:color w:val="auto"/>
                <w:sz w:val="24"/>
                <w:szCs w:val="24"/>
                <w:highlight w:val="none"/>
                <w:lang w:eastAsia="zh-CN"/>
              </w:rPr>
              <w:t>投标人</w:t>
            </w:r>
            <w:r>
              <w:rPr>
                <w:rFonts w:hint="eastAsia" w:asciiTheme="minorEastAsia" w:hAnsiTheme="minorEastAsia" w:eastAsiaTheme="minorEastAsia" w:cstheme="minorEastAsia"/>
                <w:color w:val="auto"/>
                <w:sz w:val="24"/>
                <w:szCs w:val="24"/>
                <w:highlight w:val="none"/>
              </w:rPr>
              <w:t>应在</w:t>
            </w:r>
            <w:r>
              <w:rPr>
                <w:rFonts w:hint="eastAsia" w:asciiTheme="minorEastAsia" w:hAnsiTheme="minorEastAsia" w:eastAsiaTheme="minorEastAsia" w:cstheme="minorEastAsia"/>
                <w:color w:val="auto"/>
                <w:sz w:val="24"/>
                <w:szCs w:val="24"/>
                <w:highlight w:val="none"/>
                <w:lang w:eastAsia="zh-CN"/>
              </w:rPr>
              <w:t>竞投</w:t>
            </w:r>
            <w:r>
              <w:rPr>
                <w:rFonts w:hint="eastAsia" w:asciiTheme="minorEastAsia" w:hAnsiTheme="minorEastAsia" w:eastAsiaTheme="minorEastAsia" w:cstheme="minorEastAsia"/>
                <w:color w:val="auto"/>
                <w:sz w:val="24"/>
                <w:szCs w:val="24"/>
                <w:highlight w:val="none"/>
              </w:rPr>
              <w:t>截止时间之前（以银行到账时间为准），从本单位的基本账户通过银行汇款或转账的形式，将</w:t>
            </w:r>
            <w:r>
              <w:rPr>
                <w:rFonts w:hint="eastAsia" w:asciiTheme="minorEastAsia" w:hAnsiTheme="minorEastAsia" w:eastAsiaTheme="minorEastAsia" w:cstheme="minorEastAsia"/>
                <w:color w:val="auto"/>
                <w:sz w:val="24"/>
                <w:szCs w:val="24"/>
                <w:highlight w:val="none"/>
                <w:lang w:eastAsia="zh-CN"/>
              </w:rPr>
              <w:t>竞投</w:t>
            </w:r>
            <w:r>
              <w:rPr>
                <w:rFonts w:hint="eastAsia" w:asciiTheme="minorEastAsia" w:hAnsiTheme="minorEastAsia" w:eastAsiaTheme="minorEastAsia" w:cstheme="minorEastAsia"/>
                <w:color w:val="auto"/>
                <w:sz w:val="24"/>
                <w:szCs w:val="24"/>
                <w:highlight w:val="none"/>
              </w:rPr>
              <w:t>保证金按规定金额从基本账户一次性转入或汇入到指定银行账户，否则</w:t>
            </w:r>
            <w:r>
              <w:rPr>
                <w:rFonts w:hint="eastAsia" w:asciiTheme="minorEastAsia" w:hAnsiTheme="minorEastAsia" w:eastAsiaTheme="minorEastAsia" w:cstheme="minorEastAsia"/>
                <w:color w:val="auto"/>
                <w:sz w:val="24"/>
                <w:szCs w:val="24"/>
                <w:highlight w:val="none"/>
                <w:lang w:eastAsia="zh-CN"/>
              </w:rPr>
              <w:t>竞投</w:t>
            </w:r>
            <w:r>
              <w:rPr>
                <w:rFonts w:hint="eastAsia" w:asciiTheme="minorEastAsia" w:hAnsiTheme="minorEastAsia" w:eastAsiaTheme="minorEastAsia" w:cstheme="minorEastAsia"/>
                <w:color w:val="auto"/>
                <w:sz w:val="24"/>
                <w:szCs w:val="24"/>
                <w:highlight w:val="none"/>
              </w:rPr>
              <w:t>无效。</w:t>
            </w:r>
          </w:p>
          <w:p w14:paraId="74D4D523">
            <w:pPr>
              <w:keepNext w:val="0"/>
              <w:keepLines w:val="0"/>
              <w:pageBreakBefore w:val="0"/>
              <w:widowControl w:val="0"/>
              <w:tabs>
                <w:tab w:val="left" w:pos="459"/>
                <w:tab w:val="left" w:pos="601"/>
              </w:tabs>
              <w:kinsoku/>
              <w:wordWrap/>
              <w:overflowPunct/>
              <w:topLinePunct w:val="0"/>
              <w:autoSpaceDE/>
              <w:autoSpaceDN/>
              <w:bidi w:val="0"/>
              <w:adjustRightInd w:val="0"/>
              <w:snapToGrid/>
              <w:spacing w:after="181" w:afterLines="50" w:line="300" w:lineRule="auto"/>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lang w:eastAsia="zh-CN"/>
              </w:rPr>
              <w:t>竞投</w:t>
            </w:r>
            <w:r>
              <w:rPr>
                <w:rFonts w:hint="eastAsia" w:asciiTheme="minorEastAsia" w:hAnsiTheme="minorEastAsia" w:eastAsiaTheme="minorEastAsia" w:cstheme="minorEastAsia"/>
                <w:color w:val="auto"/>
                <w:sz w:val="24"/>
                <w:szCs w:val="24"/>
                <w:highlight w:val="none"/>
              </w:rPr>
              <w:t>保证金请按以下账号提供并以该银行到账时间为准：</w:t>
            </w:r>
          </w:p>
          <w:p w14:paraId="5748FE48">
            <w:pPr>
              <w:keepNext w:val="0"/>
              <w:keepLines w:val="0"/>
              <w:pageBreakBefore w:val="0"/>
              <w:widowControl w:val="0"/>
              <w:tabs>
                <w:tab w:val="left" w:pos="459"/>
                <w:tab w:val="left" w:pos="601"/>
              </w:tabs>
              <w:kinsoku/>
              <w:wordWrap/>
              <w:overflowPunct/>
              <w:topLinePunct w:val="0"/>
              <w:autoSpaceDE/>
              <w:autoSpaceDN/>
              <w:bidi w:val="0"/>
              <w:adjustRightInd w:val="0"/>
              <w:snapToGrid/>
              <w:spacing w:line="360" w:lineRule="auto"/>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开户名称：</w:t>
            </w:r>
            <w:r>
              <w:rPr>
                <w:rFonts w:hint="eastAsia" w:asciiTheme="minorEastAsia" w:hAnsiTheme="minorEastAsia" w:eastAsiaTheme="minorEastAsia" w:cstheme="minorEastAsia"/>
                <w:color w:val="auto"/>
                <w:sz w:val="24"/>
                <w:szCs w:val="24"/>
                <w:highlight w:val="none"/>
                <w:lang w:eastAsia="zh-CN"/>
              </w:rPr>
              <w:t>广东中采招标有限公司</w:t>
            </w:r>
          </w:p>
          <w:p w14:paraId="28A6893E">
            <w:pPr>
              <w:keepNext w:val="0"/>
              <w:keepLines w:val="0"/>
              <w:pageBreakBefore w:val="0"/>
              <w:widowControl w:val="0"/>
              <w:tabs>
                <w:tab w:val="left" w:pos="459"/>
                <w:tab w:val="left" w:pos="601"/>
              </w:tabs>
              <w:kinsoku/>
              <w:wordWrap/>
              <w:overflowPunct/>
              <w:topLinePunct w:val="0"/>
              <w:autoSpaceDE/>
              <w:autoSpaceDN/>
              <w:bidi w:val="0"/>
              <w:adjustRightInd w:val="0"/>
              <w:snapToGrid/>
              <w:spacing w:line="360" w:lineRule="auto"/>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账号：9550880208287000184</w:t>
            </w:r>
          </w:p>
          <w:p w14:paraId="620395EF">
            <w:pPr>
              <w:keepNext w:val="0"/>
              <w:keepLines w:val="0"/>
              <w:pageBreakBefore w:val="0"/>
              <w:widowControl w:val="0"/>
              <w:tabs>
                <w:tab w:val="left" w:pos="459"/>
                <w:tab w:val="left" w:pos="601"/>
              </w:tabs>
              <w:kinsoku/>
              <w:wordWrap/>
              <w:overflowPunct/>
              <w:topLinePunct w:val="0"/>
              <w:autoSpaceDE/>
              <w:autoSpaceDN/>
              <w:bidi w:val="0"/>
              <w:adjustRightInd w:val="0"/>
              <w:snapToGrid/>
              <w:spacing w:line="360" w:lineRule="auto"/>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开户银行名称：广发银行股份有限公司佛山陈村支行</w:t>
            </w:r>
          </w:p>
          <w:p w14:paraId="57E02B72">
            <w:pPr>
              <w:keepNext w:val="0"/>
              <w:keepLines w:val="0"/>
              <w:pageBreakBefore w:val="0"/>
              <w:widowControl w:val="0"/>
              <w:tabs>
                <w:tab w:val="left" w:pos="459"/>
                <w:tab w:val="left" w:pos="601"/>
              </w:tabs>
              <w:kinsoku/>
              <w:wordWrap/>
              <w:overflowPunct/>
              <w:topLinePunct w:val="0"/>
              <w:autoSpaceDE/>
              <w:autoSpaceDN/>
              <w:bidi w:val="0"/>
              <w:adjustRightInd w:val="0"/>
              <w:snapToGrid/>
              <w:spacing w:line="360" w:lineRule="auto"/>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lang w:eastAsia="zh-CN"/>
              </w:rPr>
              <w:t>竞投</w:t>
            </w:r>
            <w:r>
              <w:rPr>
                <w:rFonts w:hint="eastAsia" w:asciiTheme="minorEastAsia" w:hAnsiTheme="minorEastAsia" w:eastAsiaTheme="minorEastAsia" w:cstheme="minorEastAsia"/>
                <w:color w:val="auto"/>
                <w:sz w:val="24"/>
                <w:szCs w:val="24"/>
                <w:highlight w:val="none"/>
              </w:rPr>
              <w:t>保证金的金额（人民币）：</w:t>
            </w:r>
            <w:r>
              <w:rPr>
                <w:rFonts w:hint="eastAsia" w:asciiTheme="minorEastAsia" w:hAnsiTheme="minorEastAsia" w:eastAsiaTheme="minorEastAsia" w:cstheme="minorEastAsia"/>
                <w:color w:val="auto"/>
                <w:sz w:val="24"/>
                <w:szCs w:val="24"/>
                <w:highlight w:val="none"/>
                <w:lang w:val="en-US" w:eastAsia="zh-CN"/>
              </w:rPr>
              <w:t>5万</w:t>
            </w:r>
            <w:r>
              <w:rPr>
                <w:rFonts w:hint="eastAsia" w:asciiTheme="minorEastAsia" w:hAnsiTheme="minorEastAsia" w:eastAsiaTheme="minorEastAsia" w:cstheme="minorEastAsia"/>
                <w:color w:val="auto"/>
                <w:sz w:val="24"/>
                <w:szCs w:val="24"/>
                <w:highlight w:val="none"/>
              </w:rPr>
              <w:t>元</w:t>
            </w:r>
          </w:p>
          <w:p w14:paraId="697CAC81">
            <w:pPr>
              <w:keepNext w:val="0"/>
              <w:keepLines w:val="0"/>
              <w:pageBreakBefore w:val="0"/>
              <w:widowControl w:val="0"/>
              <w:tabs>
                <w:tab w:val="left" w:pos="459"/>
                <w:tab w:val="left" w:pos="601"/>
              </w:tabs>
              <w:kinsoku/>
              <w:wordWrap/>
              <w:overflowPunct/>
              <w:topLinePunct w:val="0"/>
              <w:autoSpaceDE/>
              <w:autoSpaceDN/>
              <w:bidi w:val="0"/>
              <w:adjustRightInd w:val="0"/>
              <w:snapToGrid/>
              <w:spacing w:line="300" w:lineRule="auto"/>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（2）在办理转账时，请在转账摘要上注明“吉利</w:t>
            </w:r>
            <w:r>
              <w:rPr>
                <w:rFonts w:hint="eastAsia" w:asciiTheme="minorEastAsia" w:hAnsiTheme="minorEastAsia" w:eastAsiaTheme="minorEastAsia" w:cstheme="minorEastAsia"/>
                <w:color w:val="auto"/>
                <w:sz w:val="24"/>
                <w:szCs w:val="24"/>
                <w:highlight w:val="none"/>
                <w:lang w:val="en-US" w:eastAsia="zh-CN"/>
              </w:rPr>
              <w:t>邓岗</w:t>
            </w:r>
            <w:r>
              <w:rPr>
                <w:rFonts w:hint="eastAsia" w:asciiTheme="minorEastAsia" w:hAnsiTheme="minorEastAsia" w:eastAsiaTheme="minorEastAsia" w:cstheme="minorEastAsia"/>
                <w:color w:val="auto"/>
                <w:sz w:val="24"/>
                <w:szCs w:val="24"/>
                <w:highlight w:val="none"/>
              </w:rPr>
              <w:t>村车辆停放管理”字样，</w:t>
            </w:r>
            <w:r>
              <w:rPr>
                <w:rFonts w:hint="eastAsia" w:asciiTheme="minorEastAsia" w:hAnsiTheme="minorEastAsia" w:eastAsiaTheme="minorEastAsia" w:cstheme="minorEastAsia"/>
                <w:b/>
                <w:bCs/>
                <w:color w:val="auto"/>
                <w:sz w:val="24"/>
                <w:szCs w:val="24"/>
                <w:highlight w:val="none"/>
              </w:rPr>
              <w:t>若转账单上没有相应备注，则视为无效</w:t>
            </w:r>
            <w:r>
              <w:rPr>
                <w:rFonts w:hint="eastAsia" w:asciiTheme="minorEastAsia" w:hAnsiTheme="minorEastAsia" w:eastAsiaTheme="minorEastAsia" w:cstheme="minorEastAsia"/>
                <w:b/>
                <w:bCs/>
                <w:color w:val="auto"/>
                <w:sz w:val="24"/>
                <w:szCs w:val="24"/>
                <w:highlight w:val="none"/>
                <w:lang w:eastAsia="zh-CN"/>
              </w:rPr>
              <w:t>竞投</w:t>
            </w:r>
            <w:r>
              <w:rPr>
                <w:rFonts w:hint="eastAsia" w:asciiTheme="minorEastAsia" w:hAnsiTheme="minorEastAsia" w:eastAsiaTheme="minorEastAsia" w:cstheme="minorEastAsia"/>
                <w:b/>
                <w:bCs/>
                <w:color w:val="auto"/>
                <w:sz w:val="24"/>
                <w:szCs w:val="24"/>
                <w:highlight w:val="none"/>
              </w:rPr>
              <w:t>保证金。</w:t>
            </w:r>
          </w:p>
          <w:p w14:paraId="7A0FB2BA">
            <w:pPr>
              <w:keepNext w:val="0"/>
              <w:keepLines w:val="0"/>
              <w:pageBreakBefore w:val="0"/>
              <w:widowControl w:val="0"/>
              <w:tabs>
                <w:tab w:val="left" w:pos="459"/>
                <w:tab w:val="left" w:pos="601"/>
              </w:tabs>
              <w:kinsoku/>
              <w:wordWrap/>
              <w:overflowPunct/>
              <w:topLinePunct w:val="0"/>
              <w:autoSpaceDE/>
              <w:autoSpaceDN/>
              <w:bidi w:val="0"/>
              <w:adjustRightInd w:val="0"/>
              <w:snapToGrid/>
              <w:spacing w:line="300" w:lineRule="auto"/>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（3）</w:t>
            </w:r>
            <w:r>
              <w:rPr>
                <w:rFonts w:hint="eastAsia" w:asciiTheme="minorEastAsia" w:hAnsiTheme="minorEastAsia" w:eastAsiaTheme="minorEastAsia" w:cstheme="minorEastAsia"/>
                <w:color w:val="auto"/>
                <w:sz w:val="24"/>
                <w:szCs w:val="24"/>
                <w:highlight w:val="none"/>
                <w:lang w:val="en-US" w:eastAsia="zh-CN"/>
              </w:rPr>
              <w:t>采购代理机构</w:t>
            </w:r>
            <w:r>
              <w:rPr>
                <w:rFonts w:hint="eastAsia" w:asciiTheme="minorEastAsia" w:hAnsiTheme="minorEastAsia" w:eastAsiaTheme="minorEastAsia" w:cstheme="minorEastAsia"/>
                <w:color w:val="auto"/>
                <w:sz w:val="24"/>
                <w:szCs w:val="24"/>
                <w:highlight w:val="none"/>
              </w:rPr>
              <w:t>在</w:t>
            </w:r>
            <w:r>
              <w:rPr>
                <w:rFonts w:hint="eastAsia" w:asciiTheme="minorEastAsia" w:hAnsiTheme="minorEastAsia" w:eastAsiaTheme="minorEastAsia" w:cstheme="minorEastAsia"/>
                <w:color w:val="auto"/>
                <w:sz w:val="24"/>
                <w:szCs w:val="24"/>
                <w:highlight w:val="none"/>
                <w:lang w:val="en-US" w:eastAsia="zh-CN"/>
              </w:rPr>
              <w:t>中标通知书发出后</w:t>
            </w:r>
            <w:r>
              <w:rPr>
                <w:rFonts w:hint="eastAsia" w:asciiTheme="minorEastAsia" w:hAnsiTheme="minorEastAsia" w:eastAsiaTheme="minorEastAsia" w:cstheme="minorEastAsia"/>
                <w:color w:val="auto"/>
                <w:sz w:val="24"/>
                <w:szCs w:val="24"/>
                <w:highlight w:val="none"/>
              </w:rPr>
              <w:t>5个工作日内退还给</w:t>
            </w:r>
            <w:r>
              <w:rPr>
                <w:rFonts w:hint="eastAsia" w:asciiTheme="minorEastAsia" w:hAnsiTheme="minorEastAsia" w:eastAsiaTheme="minorEastAsia" w:cstheme="minorEastAsia"/>
                <w:color w:val="auto"/>
                <w:sz w:val="24"/>
                <w:szCs w:val="24"/>
                <w:highlight w:val="none"/>
                <w:lang w:val="en-US" w:eastAsia="zh-CN"/>
              </w:rPr>
              <w:t>未中标的</w:t>
            </w:r>
            <w:r>
              <w:rPr>
                <w:rFonts w:hint="eastAsia" w:asciiTheme="minorEastAsia" w:hAnsiTheme="minorEastAsia" w:eastAsiaTheme="minorEastAsia" w:cstheme="minorEastAsia"/>
                <w:color w:val="auto"/>
                <w:sz w:val="24"/>
                <w:szCs w:val="24"/>
                <w:highlight w:val="none"/>
                <w:lang w:eastAsia="zh-CN"/>
              </w:rPr>
              <w:t>投标人</w:t>
            </w:r>
            <w:r>
              <w:rPr>
                <w:rFonts w:hint="eastAsia" w:asciiTheme="minorEastAsia" w:hAnsiTheme="minorEastAsia" w:eastAsiaTheme="minorEastAsia" w:cstheme="minorEastAsia"/>
                <w:color w:val="auto"/>
                <w:sz w:val="24"/>
                <w:szCs w:val="24"/>
                <w:highlight w:val="none"/>
              </w:rPr>
              <w:t>。</w:t>
            </w:r>
          </w:p>
          <w:p w14:paraId="0FED8909">
            <w:pPr>
              <w:keepNext w:val="0"/>
              <w:keepLines w:val="0"/>
              <w:pageBreakBefore w:val="0"/>
              <w:widowControl w:val="0"/>
              <w:tabs>
                <w:tab w:val="left" w:pos="459"/>
                <w:tab w:val="left" w:pos="601"/>
              </w:tabs>
              <w:kinsoku/>
              <w:wordWrap/>
              <w:overflowPunct/>
              <w:topLinePunct w:val="0"/>
              <w:autoSpaceDE/>
              <w:autoSpaceDN/>
              <w:bidi w:val="0"/>
              <w:adjustRightInd w:val="0"/>
              <w:snapToGrid/>
              <w:spacing w:line="300" w:lineRule="auto"/>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（4）</w:t>
            </w:r>
            <w:r>
              <w:rPr>
                <w:rFonts w:hint="eastAsia" w:asciiTheme="minorEastAsia" w:hAnsiTheme="minorEastAsia" w:eastAsiaTheme="minorEastAsia" w:cstheme="minorEastAsia"/>
                <w:b/>
                <w:bCs/>
                <w:color w:val="auto"/>
                <w:sz w:val="24"/>
                <w:szCs w:val="24"/>
                <w:highlight w:val="none"/>
              </w:rPr>
              <w:t>采用银行转账提交</w:t>
            </w:r>
            <w:r>
              <w:rPr>
                <w:rFonts w:hint="eastAsia" w:asciiTheme="minorEastAsia" w:hAnsiTheme="minorEastAsia" w:eastAsiaTheme="minorEastAsia" w:cstheme="minorEastAsia"/>
                <w:b/>
                <w:bCs/>
                <w:color w:val="auto"/>
                <w:sz w:val="24"/>
                <w:szCs w:val="24"/>
                <w:highlight w:val="none"/>
                <w:lang w:eastAsia="zh-CN"/>
              </w:rPr>
              <w:t>竞投</w:t>
            </w:r>
            <w:r>
              <w:rPr>
                <w:rFonts w:hint="eastAsia" w:asciiTheme="minorEastAsia" w:hAnsiTheme="minorEastAsia" w:eastAsiaTheme="minorEastAsia" w:cstheme="minorEastAsia"/>
                <w:b/>
                <w:bCs/>
                <w:color w:val="auto"/>
                <w:sz w:val="24"/>
                <w:szCs w:val="24"/>
                <w:highlight w:val="none"/>
              </w:rPr>
              <w:t>保证金的应在递交</w:t>
            </w:r>
            <w:r>
              <w:rPr>
                <w:rFonts w:hint="eastAsia" w:asciiTheme="minorEastAsia" w:hAnsiTheme="minorEastAsia" w:eastAsiaTheme="minorEastAsia" w:cstheme="minorEastAsia"/>
                <w:b/>
                <w:bCs/>
                <w:color w:val="auto"/>
                <w:sz w:val="24"/>
                <w:szCs w:val="24"/>
                <w:highlight w:val="none"/>
                <w:lang w:eastAsia="zh-CN"/>
              </w:rPr>
              <w:t>竞投</w:t>
            </w:r>
            <w:r>
              <w:rPr>
                <w:rFonts w:hint="eastAsia" w:asciiTheme="minorEastAsia" w:hAnsiTheme="minorEastAsia" w:eastAsiaTheme="minorEastAsia" w:cstheme="minorEastAsia"/>
                <w:b/>
                <w:bCs/>
                <w:color w:val="auto"/>
                <w:sz w:val="24"/>
                <w:szCs w:val="24"/>
                <w:highlight w:val="none"/>
              </w:rPr>
              <w:t>文件时提交转账凭证供核对。</w:t>
            </w:r>
          </w:p>
        </w:tc>
      </w:tr>
      <w:tr w14:paraId="5307EE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709" w:type="dxa"/>
            <w:noWrap w:val="0"/>
            <w:vAlign w:val="center"/>
          </w:tcPr>
          <w:p w14:paraId="28EF6838">
            <w:pPr>
              <w:keepNext w:val="0"/>
              <w:keepLines w:val="0"/>
              <w:pageBreakBefore w:val="0"/>
              <w:widowControl w:val="0"/>
              <w:numPr>
                <w:ilvl w:val="0"/>
                <w:numId w:val="14"/>
              </w:numPr>
              <w:tabs>
                <w:tab w:val="left" w:pos="252"/>
                <w:tab w:val="clear" w:pos="420"/>
              </w:tabs>
              <w:kinsoku/>
              <w:overflowPunct/>
              <w:topLinePunct w:val="0"/>
              <w:autoSpaceDE/>
              <w:autoSpaceDN/>
              <w:bidi w:val="0"/>
              <w:adjustRightInd/>
              <w:snapToGrid/>
              <w:spacing w:line="300" w:lineRule="auto"/>
              <w:ind w:right="-107" w:rightChars="-51"/>
              <w:jc w:val="center"/>
              <w:textAlignment w:val="auto"/>
              <w:rPr>
                <w:rFonts w:hint="eastAsia" w:ascii="宋体" w:hAnsi="宋体" w:eastAsia="宋体" w:cs="宋体"/>
                <w:color w:val="auto"/>
                <w:sz w:val="24"/>
                <w:szCs w:val="24"/>
                <w:highlight w:val="none"/>
              </w:rPr>
            </w:pPr>
          </w:p>
        </w:tc>
        <w:tc>
          <w:tcPr>
            <w:tcW w:w="1555" w:type="dxa"/>
            <w:noWrap w:val="0"/>
            <w:vAlign w:val="center"/>
          </w:tcPr>
          <w:p w14:paraId="5E875827">
            <w:pPr>
              <w:keepNext w:val="0"/>
              <w:keepLines w:val="0"/>
              <w:pageBreakBefore w:val="0"/>
              <w:widowControl w:val="0"/>
              <w:kinsoku/>
              <w:overflowPunct/>
              <w:topLinePunct w:val="0"/>
              <w:autoSpaceDE/>
              <w:autoSpaceDN/>
              <w:bidi w:val="0"/>
              <w:adjustRightInd/>
              <w:snapToGrid/>
              <w:spacing w:line="300" w:lineRule="auto"/>
              <w:jc w:val="center"/>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竞投文件</w:t>
            </w:r>
            <w:r>
              <w:rPr>
                <w:rFonts w:hint="eastAsia" w:ascii="宋体" w:hAnsi="宋体" w:eastAsia="宋体" w:cs="宋体"/>
                <w:color w:val="auto"/>
                <w:sz w:val="24"/>
                <w:szCs w:val="24"/>
                <w:highlight w:val="none"/>
              </w:rPr>
              <w:t>的澄清</w:t>
            </w:r>
          </w:p>
        </w:tc>
        <w:tc>
          <w:tcPr>
            <w:tcW w:w="7350" w:type="dxa"/>
            <w:noWrap w:val="0"/>
            <w:vAlign w:val="center"/>
          </w:tcPr>
          <w:p w14:paraId="684453F1">
            <w:pPr>
              <w:keepNext w:val="0"/>
              <w:keepLines w:val="0"/>
              <w:pageBreakBefore w:val="0"/>
              <w:widowControl w:val="0"/>
              <w:numPr>
                <w:ilvl w:val="0"/>
                <w:numId w:val="15"/>
              </w:numPr>
              <w:tabs>
                <w:tab w:val="left" w:pos="432"/>
              </w:tabs>
              <w:kinsoku/>
              <w:overflowPunct/>
              <w:topLinePunct w:val="0"/>
              <w:autoSpaceDE/>
              <w:autoSpaceDN/>
              <w:bidi w:val="0"/>
              <w:adjustRightInd/>
              <w:snapToGrid/>
              <w:spacing w:line="300" w:lineRule="auto"/>
              <w:ind w:left="425" w:leftChars="0" w:hanging="425" w:firstLineChars="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招标人</w:t>
            </w:r>
            <w:r>
              <w:rPr>
                <w:rFonts w:hint="eastAsia" w:ascii="宋体" w:hAnsi="宋体" w:eastAsia="宋体" w:cs="宋体"/>
                <w:color w:val="auto"/>
                <w:sz w:val="24"/>
                <w:szCs w:val="24"/>
                <w:highlight w:val="none"/>
              </w:rPr>
              <w:t>不统一组织答疑会；</w:t>
            </w:r>
          </w:p>
          <w:p w14:paraId="4368FB7C">
            <w:pPr>
              <w:keepNext w:val="0"/>
              <w:keepLines w:val="0"/>
              <w:pageBreakBefore w:val="0"/>
              <w:widowControl w:val="0"/>
              <w:numPr>
                <w:ilvl w:val="0"/>
                <w:numId w:val="15"/>
              </w:numPr>
              <w:tabs>
                <w:tab w:val="left" w:pos="432"/>
              </w:tabs>
              <w:kinsoku/>
              <w:overflowPunct/>
              <w:topLinePunct w:val="0"/>
              <w:autoSpaceDE/>
              <w:autoSpaceDN/>
              <w:bidi w:val="0"/>
              <w:adjustRightInd/>
              <w:snapToGrid/>
              <w:spacing w:line="300" w:lineRule="auto"/>
              <w:ind w:left="425" w:leftChars="0" w:hanging="425" w:firstLineChars="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投标人</w:t>
            </w:r>
            <w:r>
              <w:rPr>
                <w:rFonts w:hint="eastAsia" w:ascii="宋体" w:hAnsi="宋体" w:eastAsia="宋体" w:cs="宋体"/>
                <w:color w:val="auto"/>
                <w:sz w:val="24"/>
                <w:szCs w:val="24"/>
                <w:highlight w:val="none"/>
              </w:rPr>
              <w:t>提出疑问期限：在</w:t>
            </w:r>
            <w:r>
              <w:rPr>
                <w:rFonts w:hint="eastAsia" w:ascii="宋体" w:hAnsi="宋体" w:eastAsia="宋体" w:cs="宋体"/>
                <w:color w:val="auto"/>
                <w:sz w:val="24"/>
                <w:szCs w:val="24"/>
                <w:highlight w:val="none"/>
                <w:lang w:eastAsia="zh-CN"/>
              </w:rPr>
              <w:t>竞投</w:t>
            </w:r>
            <w:r>
              <w:rPr>
                <w:rFonts w:hint="eastAsia" w:ascii="宋体" w:hAnsi="宋体" w:eastAsia="宋体" w:cs="宋体"/>
                <w:color w:val="auto"/>
                <w:sz w:val="24"/>
                <w:szCs w:val="24"/>
                <w:highlight w:val="none"/>
              </w:rPr>
              <w:t>截止日期前2日；</w:t>
            </w:r>
          </w:p>
          <w:p w14:paraId="4C5F63F2">
            <w:pPr>
              <w:keepNext w:val="0"/>
              <w:keepLines w:val="0"/>
              <w:pageBreakBefore w:val="0"/>
              <w:widowControl w:val="0"/>
              <w:numPr>
                <w:ilvl w:val="0"/>
                <w:numId w:val="15"/>
              </w:numPr>
              <w:tabs>
                <w:tab w:val="left" w:pos="432"/>
              </w:tabs>
              <w:kinsoku/>
              <w:overflowPunct/>
              <w:topLinePunct w:val="0"/>
              <w:autoSpaceDE/>
              <w:autoSpaceDN/>
              <w:bidi w:val="0"/>
              <w:adjustRightInd/>
              <w:snapToGrid/>
              <w:spacing w:line="300" w:lineRule="auto"/>
              <w:ind w:left="425" w:leftChars="0" w:hanging="425" w:firstLineChars="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招标人</w:t>
            </w:r>
            <w:r>
              <w:rPr>
                <w:rFonts w:hint="eastAsia" w:ascii="宋体" w:hAnsi="宋体" w:eastAsia="宋体" w:cs="宋体"/>
                <w:color w:val="auto"/>
                <w:sz w:val="24"/>
                <w:szCs w:val="24"/>
                <w:highlight w:val="none"/>
              </w:rPr>
              <w:t>澄清、修改或答疑期限：在</w:t>
            </w:r>
            <w:r>
              <w:rPr>
                <w:rFonts w:hint="eastAsia" w:ascii="宋体" w:hAnsi="宋体" w:eastAsia="宋体" w:cs="宋体"/>
                <w:color w:val="auto"/>
                <w:sz w:val="24"/>
                <w:szCs w:val="24"/>
                <w:highlight w:val="none"/>
                <w:lang w:eastAsia="zh-CN"/>
              </w:rPr>
              <w:t>竞投</w:t>
            </w:r>
            <w:r>
              <w:rPr>
                <w:rFonts w:hint="eastAsia" w:ascii="宋体" w:hAnsi="宋体" w:eastAsia="宋体" w:cs="宋体"/>
                <w:color w:val="auto"/>
                <w:sz w:val="24"/>
                <w:szCs w:val="24"/>
                <w:highlight w:val="none"/>
              </w:rPr>
              <w:t>截止日期前1日。</w:t>
            </w:r>
          </w:p>
        </w:tc>
      </w:tr>
      <w:tr w14:paraId="58AAF8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709" w:type="dxa"/>
            <w:noWrap w:val="0"/>
            <w:vAlign w:val="center"/>
          </w:tcPr>
          <w:p w14:paraId="4199DB75">
            <w:pPr>
              <w:keepNext w:val="0"/>
              <w:keepLines w:val="0"/>
              <w:pageBreakBefore w:val="0"/>
              <w:widowControl w:val="0"/>
              <w:numPr>
                <w:ilvl w:val="0"/>
                <w:numId w:val="14"/>
              </w:numPr>
              <w:tabs>
                <w:tab w:val="left" w:pos="252"/>
                <w:tab w:val="clear" w:pos="420"/>
              </w:tabs>
              <w:kinsoku/>
              <w:overflowPunct/>
              <w:topLinePunct w:val="0"/>
              <w:autoSpaceDE/>
              <w:autoSpaceDN/>
              <w:bidi w:val="0"/>
              <w:adjustRightInd/>
              <w:snapToGrid/>
              <w:spacing w:line="300" w:lineRule="auto"/>
              <w:ind w:right="-107" w:rightChars="-51"/>
              <w:jc w:val="center"/>
              <w:textAlignment w:val="auto"/>
              <w:rPr>
                <w:rFonts w:hint="eastAsia" w:ascii="宋体" w:hAnsi="宋体" w:eastAsia="宋体" w:cs="宋体"/>
                <w:color w:val="auto"/>
                <w:sz w:val="24"/>
                <w:szCs w:val="24"/>
                <w:highlight w:val="none"/>
              </w:rPr>
            </w:pPr>
          </w:p>
        </w:tc>
        <w:tc>
          <w:tcPr>
            <w:tcW w:w="1555" w:type="dxa"/>
            <w:noWrap w:val="0"/>
            <w:vAlign w:val="center"/>
          </w:tcPr>
          <w:p w14:paraId="0C3CF4E8">
            <w:pPr>
              <w:keepNext w:val="0"/>
              <w:keepLines w:val="0"/>
              <w:pageBreakBefore w:val="0"/>
              <w:widowControl w:val="0"/>
              <w:kinsoku/>
              <w:overflowPunct/>
              <w:topLinePunct w:val="0"/>
              <w:autoSpaceDE/>
              <w:autoSpaceDN/>
              <w:bidi w:val="0"/>
              <w:adjustRightInd/>
              <w:snapToGrid/>
              <w:spacing w:line="300" w:lineRule="auto"/>
              <w:jc w:val="center"/>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资格审查</w:t>
            </w:r>
            <w:r>
              <w:rPr>
                <w:rFonts w:hint="eastAsia" w:ascii="宋体" w:hAnsi="宋体" w:eastAsia="宋体" w:cs="宋体"/>
                <w:color w:val="auto"/>
                <w:sz w:val="24"/>
                <w:szCs w:val="24"/>
                <w:highlight w:val="none"/>
              </w:rPr>
              <w:t>文件的递交</w:t>
            </w:r>
          </w:p>
        </w:tc>
        <w:tc>
          <w:tcPr>
            <w:tcW w:w="7350" w:type="dxa"/>
            <w:noWrap w:val="0"/>
            <w:vAlign w:val="center"/>
          </w:tcPr>
          <w:p w14:paraId="775AECC8">
            <w:pPr>
              <w:keepNext w:val="0"/>
              <w:keepLines w:val="0"/>
              <w:pageBreakBefore w:val="0"/>
              <w:widowControl w:val="0"/>
              <w:kinsoku/>
              <w:overflowPunct/>
              <w:topLinePunct w:val="0"/>
              <w:autoSpaceDE/>
              <w:autoSpaceDN/>
              <w:bidi w:val="0"/>
              <w:adjustRightInd/>
              <w:snapToGrid/>
              <w:spacing w:line="300" w:lineRule="auto"/>
              <w:textAlignment w:val="auto"/>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投标人应凭以下资料递交</w:t>
            </w:r>
            <w:r>
              <w:rPr>
                <w:rFonts w:hint="eastAsia" w:ascii="宋体" w:hAnsi="宋体" w:eastAsia="宋体" w:cs="宋体"/>
                <w:color w:val="auto"/>
                <w:sz w:val="24"/>
                <w:szCs w:val="24"/>
                <w:highlight w:val="none"/>
                <w:lang w:eastAsia="zh-CN"/>
              </w:rPr>
              <w:t>资格审查</w:t>
            </w:r>
            <w:r>
              <w:rPr>
                <w:rFonts w:hint="eastAsia" w:ascii="宋体" w:hAnsi="宋体" w:eastAsia="宋体" w:cs="宋体"/>
                <w:color w:val="auto"/>
                <w:sz w:val="24"/>
                <w:szCs w:val="24"/>
                <w:highlight w:val="none"/>
                <w:lang w:val="zh-CN"/>
              </w:rPr>
              <w:t>文件（加盖投标人公章），否则，招标代理机构将有权拒收（</w:t>
            </w:r>
            <w:r>
              <w:rPr>
                <w:rFonts w:hint="eastAsia" w:ascii="宋体" w:hAnsi="宋体" w:eastAsia="宋体" w:cs="宋体"/>
                <w:color w:val="auto"/>
                <w:sz w:val="24"/>
                <w:szCs w:val="24"/>
                <w:highlight w:val="none"/>
              </w:rPr>
              <w:t>以下证明文件</w:t>
            </w:r>
            <w:r>
              <w:rPr>
                <w:rFonts w:hint="eastAsia" w:ascii="宋体" w:hAnsi="宋体" w:eastAsia="宋体" w:cs="宋体"/>
                <w:color w:val="auto"/>
                <w:sz w:val="24"/>
                <w:szCs w:val="24"/>
                <w:highlight w:val="none"/>
                <w:lang w:val="en-US" w:eastAsia="zh-CN"/>
              </w:rPr>
              <w:t>应</w:t>
            </w:r>
            <w:r>
              <w:rPr>
                <w:rFonts w:hint="eastAsia" w:ascii="宋体" w:hAnsi="宋体" w:eastAsia="宋体" w:cs="宋体"/>
                <w:color w:val="auto"/>
                <w:sz w:val="24"/>
                <w:szCs w:val="24"/>
                <w:highlight w:val="none"/>
              </w:rPr>
              <w:t>密封在</w:t>
            </w:r>
            <w:r>
              <w:rPr>
                <w:rFonts w:hint="eastAsia" w:ascii="宋体" w:hAnsi="宋体" w:eastAsia="宋体" w:cs="宋体"/>
                <w:color w:val="auto"/>
                <w:sz w:val="24"/>
                <w:szCs w:val="24"/>
                <w:highlight w:val="none"/>
                <w:lang w:eastAsia="zh-CN"/>
              </w:rPr>
              <w:t>竞投</w:t>
            </w:r>
            <w:r>
              <w:rPr>
                <w:rFonts w:hint="eastAsia" w:ascii="宋体" w:hAnsi="宋体" w:eastAsia="宋体" w:cs="宋体"/>
                <w:color w:val="auto"/>
                <w:sz w:val="24"/>
                <w:szCs w:val="24"/>
                <w:highlight w:val="none"/>
              </w:rPr>
              <w:t>文件包装袋内</w:t>
            </w:r>
            <w:r>
              <w:rPr>
                <w:rFonts w:hint="eastAsia" w:ascii="宋体" w:hAnsi="宋体" w:eastAsia="宋体" w:cs="宋体"/>
                <w:color w:val="auto"/>
                <w:sz w:val="24"/>
                <w:szCs w:val="24"/>
                <w:highlight w:val="none"/>
                <w:lang w:val="zh-CN"/>
              </w:rPr>
              <w:t>）：</w:t>
            </w:r>
          </w:p>
          <w:p w14:paraId="348B8906">
            <w:pPr>
              <w:keepNext w:val="0"/>
              <w:keepLines w:val="0"/>
              <w:pageBreakBefore w:val="0"/>
              <w:widowControl w:val="0"/>
              <w:numPr>
                <w:ilvl w:val="0"/>
                <w:numId w:val="16"/>
              </w:numPr>
              <w:tabs>
                <w:tab w:val="left" w:pos="432"/>
              </w:tabs>
              <w:kinsoku/>
              <w:overflowPunct/>
              <w:topLinePunct w:val="0"/>
              <w:autoSpaceDE/>
              <w:autoSpaceDN/>
              <w:bidi w:val="0"/>
              <w:adjustRightInd/>
              <w:snapToGrid/>
              <w:spacing w:line="300" w:lineRule="auto"/>
              <w:ind w:left="425" w:leftChars="0" w:hanging="425" w:firstLineChars="0"/>
              <w:textAlignment w:val="auto"/>
              <w:rPr>
                <w:rFonts w:hint="eastAsia" w:ascii="宋体" w:hAnsi="宋体" w:eastAsia="宋体" w:cs="宋体"/>
                <w:color w:val="auto"/>
                <w:sz w:val="24"/>
                <w:szCs w:val="24"/>
                <w:highlight w:val="none"/>
                <w:lang w:val="zh-CN" w:eastAsia="zh-CN"/>
              </w:rPr>
            </w:pPr>
            <w:r>
              <w:rPr>
                <w:rFonts w:hint="eastAsia" w:ascii="宋体" w:hAnsi="宋体" w:eastAsia="宋体" w:cs="宋体"/>
                <w:color w:val="auto"/>
                <w:sz w:val="24"/>
                <w:szCs w:val="24"/>
                <w:highlight w:val="none"/>
                <w:lang w:val="zh-CN" w:eastAsia="zh-CN"/>
              </w:rPr>
              <w:t>法定代表人/负责人资格证明书原件；</w:t>
            </w:r>
          </w:p>
          <w:p w14:paraId="068464A5">
            <w:pPr>
              <w:keepNext w:val="0"/>
              <w:keepLines w:val="0"/>
              <w:pageBreakBefore w:val="0"/>
              <w:widowControl w:val="0"/>
              <w:numPr>
                <w:ilvl w:val="0"/>
                <w:numId w:val="16"/>
              </w:numPr>
              <w:tabs>
                <w:tab w:val="left" w:pos="432"/>
              </w:tabs>
              <w:kinsoku/>
              <w:overflowPunct/>
              <w:topLinePunct w:val="0"/>
              <w:autoSpaceDE/>
              <w:autoSpaceDN/>
              <w:bidi w:val="0"/>
              <w:adjustRightInd/>
              <w:snapToGrid/>
              <w:spacing w:line="300" w:lineRule="auto"/>
              <w:ind w:left="425" w:leftChars="0" w:hanging="425" w:firstLineChars="0"/>
              <w:textAlignment w:val="auto"/>
              <w:rPr>
                <w:rFonts w:hint="eastAsia" w:ascii="宋体" w:hAnsi="宋体" w:eastAsia="宋体" w:cs="宋体"/>
                <w:color w:val="auto"/>
                <w:sz w:val="24"/>
                <w:szCs w:val="24"/>
                <w:highlight w:val="none"/>
                <w:lang w:val="zh-CN" w:eastAsia="zh-CN"/>
              </w:rPr>
            </w:pPr>
            <w:r>
              <w:rPr>
                <w:rFonts w:hint="eastAsia" w:ascii="宋体" w:hAnsi="宋体" w:eastAsia="宋体" w:cs="宋体"/>
                <w:color w:val="auto"/>
                <w:sz w:val="24"/>
                <w:szCs w:val="24"/>
                <w:highlight w:val="none"/>
                <w:lang w:val="zh-CN" w:eastAsia="zh-CN"/>
              </w:rPr>
              <w:t>法定代表人/负责人授权书原件；</w:t>
            </w:r>
          </w:p>
          <w:p w14:paraId="4C8BB491">
            <w:pPr>
              <w:keepNext w:val="0"/>
              <w:keepLines w:val="0"/>
              <w:pageBreakBefore w:val="0"/>
              <w:widowControl w:val="0"/>
              <w:numPr>
                <w:ilvl w:val="0"/>
                <w:numId w:val="16"/>
              </w:numPr>
              <w:tabs>
                <w:tab w:val="left" w:pos="432"/>
              </w:tabs>
              <w:kinsoku/>
              <w:overflowPunct/>
              <w:topLinePunct w:val="0"/>
              <w:autoSpaceDE/>
              <w:autoSpaceDN/>
              <w:bidi w:val="0"/>
              <w:adjustRightInd/>
              <w:snapToGrid/>
              <w:spacing w:line="300" w:lineRule="auto"/>
              <w:ind w:left="425" w:leftChars="0" w:hanging="425" w:firstLineChars="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竞投保证金递交凭证的原件或者复印件。</w:t>
            </w:r>
          </w:p>
          <w:p w14:paraId="3202CA30">
            <w:pPr>
              <w:keepNext w:val="0"/>
              <w:keepLines w:val="0"/>
              <w:pageBreakBefore w:val="0"/>
              <w:widowControl w:val="0"/>
              <w:numPr>
                <w:ilvl w:val="0"/>
                <w:numId w:val="0"/>
              </w:numPr>
              <w:tabs>
                <w:tab w:val="left" w:pos="432"/>
              </w:tabs>
              <w:kinsoku/>
              <w:overflowPunct/>
              <w:topLinePunct w:val="0"/>
              <w:autoSpaceDE/>
              <w:autoSpaceDN/>
              <w:bidi w:val="0"/>
              <w:adjustRightInd/>
              <w:snapToGrid/>
              <w:spacing w:line="300" w:lineRule="auto"/>
              <w:ind w:leftChars="0"/>
              <w:textAlignment w:val="auto"/>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u w:val="single"/>
                <w:lang w:val="en-US" w:eastAsia="zh-CN"/>
              </w:rPr>
              <w:t>注：现场须法定代表人/负责人或授权代表本人到场，且须提供本人身份证原件或电子版至招标代理进行核对人员身份</w:t>
            </w:r>
            <w:r>
              <w:rPr>
                <w:rFonts w:hint="eastAsia" w:ascii="宋体" w:hAnsi="宋体" w:eastAsia="宋体" w:cs="宋体"/>
                <w:b/>
                <w:bCs/>
                <w:color w:val="auto"/>
                <w:sz w:val="24"/>
                <w:szCs w:val="24"/>
                <w:highlight w:val="none"/>
                <w:u w:val="single"/>
                <w:lang w:eastAsia="zh-CN"/>
              </w:rPr>
              <w:t>。</w:t>
            </w:r>
          </w:p>
        </w:tc>
      </w:tr>
      <w:tr w14:paraId="61F233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709" w:type="dxa"/>
            <w:noWrap w:val="0"/>
            <w:vAlign w:val="center"/>
          </w:tcPr>
          <w:p w14:paraId="2CD9513F">
            <w:pPr>
              <w:keepNext w:val="0"/>
              <w:keepLines w:val="0"/>
              <w:pageBreakBefore w:val="0"/>
              <w:widowControl w:val="0"/>
              <w:numPr>
                <w:ilvl w:val="0"/>
                <w:numId w:val="14"/>
              </w:numPr>
              <w:tabs>
                <w:tab w:val="left" w:pos="252"/>
                <w:tab w:val="clear" w:pos="420"/>
              </w:tabs>
              <w:kinsoku/>
              <w:overflowPunct/>
              <w:topLinePunct w:val="0"/>
              <w:autoSpaceDE/>
              <w:autoSpaceDN/>
              <w:bidi w:val="0"/>
              <w:adjustRightInd/>
              <w:snapToGrid/>
              <w:spacing w:line="300" w:lineRule="auto"/>
              <w:ind w:right="-107" w:rightChars="-51"/>
              <w:jc w:val="center"/>
              <w:textAlignment w:val="auto"/>
              <w:rPr>
                <w:rFonts w:hint="eastAsia" w:ascii="宋体" w:hAnsi="宋体" w:eastAsia="宋体" w:cs="宋体"/>
                <w:color w:val="auto"/>
                <w:sz w:val="24"/>
                <w:szCs w:val="24"/>
                <w:highlight w:val="none"/>
              </w:rPr>
            </w:pPr>
          </w:p>
        </w:tc>
        <w:tc>
          <w:tcPr>
            <w:tcW w:w="1555" w:type="dxa"/>
            <w:noWrap w:val="0"/>
            <w:vAlign w:val="center"/>
          </w:tcPr>
          <w:p w14:paraId="548E2883">
            <w:pPr>
              <w:keepNext w:val="0"/>
              <w:keepLines w:val="0"/>
              <w:pageBreakBefore w:val="0"/>
              <w:widowControl w:val="0"/>
              <w:kinsoku/>
              <w:overflowPunct/>
              <w:topLinePunct w:val="0"/>
              <w:autoSpaceDE/>
              <w:autoSpaceDN/>
              <w:bidi w:val="0"/>
              <w:adjustRightInd/>
              <w:snapToGrid/>
              <w:spacing w:line="300" w:lineRule="auto"/>
              <w:jc w:val="center"/>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资格审查</w:t>
            </w:r>
            <w:r>
              <w:rPr>
                <w:rFonts w:hint="eastAsia" w:ascii="宋体" w:hAnsi="宋体" w:eastAsia="宋体" w:cs="宋体"/>
                <w:color w:val="auto"/>
                <w:sz w:val="24"/>
                <w:szCs w:val="24"/>
                <w:highlight w:val="none"/>
              </w:rPr>
              <w:t>文件递交数量</w:t>
            </w:r>
          </w:p>
        </w:tc>
        <w:tc>
          <w:tcPr>
            <w:tcW w:w="7350" w:type="dxa"/>
            <w:noWrap w:val="0"/>
            <w:vAlign w:val="center"/>
          </w:tcPr>
          <w:p w14:paraId="2CE847A0">
            <w:pPr>
              <w:keepNext w:val="0"/>
              <w:keepLines w:val="0"/>
              <w:pageBreakBefore w:val="0"/>
              <w:widowControl w:val="0"/>
              <w:kinsoku/>
              <w:overflowPunct/>
              <w:topLinePunct w:val="0"/>
              <w:autoSpaceDE/>
              <w:autoSpaceDN/>
              <w:bidi w:val="0"/>
              <w:adjustRightInd/>
              <w:snapToGrid/>
              <w:spacing w:line="300" w:lineRule="auto"/>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u w:val="single"/>
                <w:lang w:val="en-GB"/>
              </w:rPr>
              <w:t>1份</w:t>
            </w:r>
            <w:r>
              <w:rPr>
                <w:rFonts w:hint="eastAsia" w:ascii="宋体" w:hAnsi="宋体" w:eastAsia="宋体" w:cs="宋体"/>
                <w:b/>
                <w:color w:val="auto"/>
                <w:sz w:val="24"/>
                <w:szCs w:val="24"/>
                <w:highlight w:val="none"/>
                <w:lang w:val="en-GB"/>
              </w:rPr>
              <w:t>正本、</w:t>
            </w:r>
            <w:r>
              <w:rPr>
                <w:rFonts w:hint="eastAsia" w:ascii="宋体" w:hAnsi="宋体" w:eastAsia="宋体" w:cs="宋体"/>
                <w:b/>
                <w:color w:val="auto"/>
                <w:sz w:val="24"/>
                <w:szCs w:val="24"/>
                <w:highlight w:val="none"/>
                <w:u w:val="single"/>
                <w:lang w:val="en-US" w:eastAsia="zh-CN"/>
              </w:rPr>
              <w:t>3</w:t>
            </w:r>
            <w:r>
              <w:rPr>
                <w:rFonts w:hint="eastAsia" w:ascii="宋体" w:hAnsi="宋体" w:eastAsia="宋体" w:cs="宋体"/>
                <w:b/>
                <w:color w:val="auto"/>
                <w:sz w:val="24"/>
                <w:szCs w:val="24"/>
                <w:highlight w:val="none"/>
                <w:u w:val="single"/>
                <w:lang w:val="en-GB"/>
              </w:rPr>
              <w:t>份</w:t>
            </w:r>
            <w:r>
              <w:rPr>
                <w:rFonts w:hint="eastAsia" w:ascii="宋体" w:hAnsi="宋体" w:eastAsia="宋体" w:cs="宋体"/>
                <w:b/>
                <w:color w:val="auto"/>
                <w:sz w:val="24"/>
                <w:szCs w:val="24"/>
                <w:highlight w:val="none"/>
                <w:lang w:val="en-GB"/>
              </w:rPr>
              <w:t>副本和</w:t>
            </w:r>
            <w:r>
              <w:rPr>
                <w:rFonts w:hint="eastAsia" w:ascii="宋体" w:hAnsi="宋体" w:eastAsia="宋体" w:cs="宋体"/>
                <w:b/>
                <w:color w:val="auto"/>
                <w:sz w:val="24"/>
                <w:szCs w:val="24"/>
                <w:highlight w:val="none"/>
                <w:u w:val="single"/>
              </w:rPr>
              <w:t>2份</w:t>
            </w:r>
            <w:r>
              <w:rPr>
                <w:rFonts w:hint="eastAsia" w:ascii="宋体" w:hAnsi="宋体" w:eastAsia="宋体" w:cs="宋体"/>
                <w:b/>
                <w:color w:val="auto"/>
                <w:sz w:val="24"/>
                <w:szCs w:val="24"/>
                <w:highlight w:val="none"/>
              </w:rPr>
              <w:t>电子光盘</w:t>
            </w:r>
          </w:p>
          <w:p w14:paraId="31BF177A">
            <w:pPr>
              <w:keepNext w:val="0"/>
              <w:keepLines w:val="0"/>
              <w:pageBreakBefore w:val="0"/>
              <w:widowControl w:val="0"/>
              <w:kinsoku/>
              <w:overflowPunct/>
              <w:topLinePunct w:val="0"/>
              <w:autoSpaceDE/>
              <w:autoSpaceDN/>
              <w:bidi w:val="0"/>
              <w:adjustRightInd/>
              <w:snapToGrid/>
              <w:spacing w:line="300" w:lineRule="auto"/>
              <w:textAlignment w:val="auto"/>
              <w:rPr>
                <w:rFonts w:hint="eastAsia" w:ascii="宋体" w:hAnsi="宋体" w:eastAsia="宋体" w:cs="宋体"/>
                <w:b w:val="0"/>
                <w:bCs/>
                <w:color w:val="auto"/>
                <w:sz w:val="24"/>
                <w:szCs w:val="24"/>
                <w:highlight w:val="none"/>
                <w:lang w:val="en-GB"/>
              </w:rPr>
            </w:pPr>
            <w:r>
              <w:rPr>
                <w:rFonts w:hint="eastAsia" w:ascii="宋体" w:hAnsi="宋体" w:eastAsia="宋体" w:cs="宋体"/>
                <w:b w:val="0"/>
                <w:bCs/>
                <w:color w:val="auto"/>
                <w:sz w:val="24"/>
                <w:szCs w:val="24"/>
                <w:highlight w:val="none"/>
                <w:lang w:val="en-GB"/>
              </w:rPr>
              <w:t>说明：</w:t>
            </w:r>
          </w:p>
          <w:p w14:paraId="52059444">
            <w:pPr>
              <w:keepNext w:val="0"/>
              <w:keepLines w:val="0"/>
              <w:pageBreakBefore w:val="0"/>
              <w:widowControl w:val="0"/>
              <w:numPr>
                <w:ilvl w:val="0"/>
                <w:numId w:val="17"/>
              </w:numPr>
              <w:kinsoku/>
              <w:overflowPunct/>
              <w:topLinePunct w:val="0"/>
              <w:autoSpaceDE/>
              <w:autoSpaceDN/>
              <w:bidi w:val="0"/>
              <w:adjustRightInd/>
              <w:snapToGrid/>
              <w:spacing w:line="300" w:lineRule="auto"/>
              <w:ind w:left="0" w:leftChars="0" w:firstLine="0" w:firstLineChars="0"/>
              <w:textAlignment w:val="auto"/>
              <w:rPr>
                <w:rFonts w:hint="eastAsia" w:ascii="宋体" w:hAnsi="宋体" w:eastAsia="宋体" w:cs="宋体"/>
                <w:b w:val="0"/>
                <w:bCs/>
                <w:color w:val="auto"/>
                <w:sz w:val="24"/>
                <w:szCs w:val="24"/>
                <w:highlight w:val="none"/>
                <w:lang w:val="en-GB"/>
              </w:rPr>
            </w:pPr>
            <w:r>
              <w:rPr>
                <w:rFonts w:hint="eastAsia" w:ascii="宋体" w:hAnsi="宋体" w:eastAsia="宋体" w:cs="宋体"/>
                <w:b/>
                <w:color w:val="auto"/>
                <w:sz w:val="24"/>
                <w:szCs w:val="24"/>
                <w:highlight w:val="none"/>
                <w:lang w:val="en-GB"/>
              </w:rPr>
              <w:t>资格审查文件的正本、副本、电子光盘，均应密封在同一密封包中。</w:t>
            </w:r>
            <w:r>
              <w:rPr>
                <w:rFonts w:hint="eastAsia" w:ascii="宋体" w:hAnsi="宋体" w:eastAsia="宋体" w:cs="宋体"/>
                <w:b w:val="0"/>
                <w:bCs/>
                <w:color w:val="auto"/>
                <w:sz w:val="24"/>
                <w:szCs w:val="24"/>
                <w:highlight w:val="none"/>
                <w:lang w:val="en-GB"/>
              </w:rPr>
              <w:t>若上述资料确实无法密封在同一密封包中，则可按实际情况分开密封，但须在密封包装上标明密封内容。</w:t>
            </w:r>
          </w:p>
          <w:p w14:paraId="2DD1AF62">
            <w:pPr>
              <w:keepNext w:val="0"/>
              <w:keepLines w:val="0"/>
              <w:pageBreakBefore w:val="0"/>
              <w:widowControl w:val="0"/>
              <w:numPr>
                <w:ilvl w:val="0"/>
                <w:numId w:val="17"/>
              </w:numPr>
              <w:kinsoku/>
              <w:overflowPunct/>
              <w:topLinePunct w:val="0"/>
              <w:autoSpaceDE/>
              <w:autoSpaceDN/>
              <w:bidi w:val="0"/>
              <w:adjustRightInd/>
              <w:snapToGrid/>
              <w:spacing w:line="300" w:lineRule="auto"/>
              <w:ind w:left="0" w:leftChars="0" w:firstLine="0" w:firstLineChars="0"/>
              <w:textAlignment w:val="auto"/>
              <w:rPr>
                <w:rFonts w:hint="eastAsia" w:ascii="宋体" w:hAnsi="宋体" w:eastAsia="宋体" w:cs="宋体"/>
                <w:b/>
                <w:color w:val="auto"/>
                <w:sz w:val="24"/>
                <w:szCs w:val="24"/>
                <w:highlight w:val="none"/>
                <w:lang w:val="en-GB"/>
              </w:rPr>
            </w:pPr>
            <w:r>
              <w:rPr>
                <w:rFonts w:hint="eastAsia" w:ascii="宋体" w:hAnsi="宋体" w:eastAsia="宋体" w:cs="宋体"/>
                <w:b/>
                <w:color w:val="auto"/>
                <w:sz w:val="24"/>
                <w:szCs w:val="24"/>
                <w:highlight w:val="none"/>
                <w:lang w:val="en-GB"/>
              </w:rPr>
              <w:t>电子光盘内容：</w:t>
            </w:r>
            <w:r>
              <w:rPr>
                <w:rFonts w:hint="eastAsia" w:ascii="宋体" w:hAnsi="宋体" w:eastAsia="宋体" w:cs="宋体"/>
                <w:b/>
                <w:color w:val="auto"/>
                <w:sz w:val="24"/>
                <w:szCs w:val="24"/>
                <w:highlight w:val="none"/>
                <w:lang w:val="en-GB" w:eastAsia="zh-CN"/>
              </w:rPr>
              <w:t>竞投</w:t>
            </w:r>
            <w:r>
              <w:rPr>
                <w:rFonts w:hint="eastAsia" w:ascii="宋体" w:hAnsi="宋体" w:eastAsia="宋体" w:cs="宋体"/>
                <w:b/>
                <w:color w:val="auto"/>
                <w:sz w:val="24"/>
                <w:szCs w:val="24"/>
                <w:highlight w:val="none"/>
                <w:lang w:val="en-GB"/>
              </w:rPr>
              <w:t>文件正本的所有内容，WORD版可编辑文档格式。</w:t>
            </w:r>
          </w:p>
        </w:tc>
      </w:tr>
      <w:tr w14:paraId="1A82A1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1" w:hRule="atLeast"/>
          <w:jc w:val="center"/>
        </w:trPr>
        <w:tc>
          <w:tcPr>
            <w:tcW w:w="709" w:type="dxa"/>
            <w:noWrap w:val="0"/>
            <w:vAlign w:val="center"/>
          </w:tcPr>
          <w:p w14:paraId="3435090F">
            <w:pPr>
              <w:keepNext w:val="0"/>
              <w:keepLines w:val="0"/>
              <w:pageBreakBefore w:val="0"/>
              <w:widowControl w:val="0"/>
              <w:numPr>
                <w:ilvl w:val="0"/>
                <w:numId w:val="14"/>
              </w:numPr>
              <w:tabs>
                <w:tab w:val="left" w:pos="252"/>
                <w:tab w:val="clear" w:pos="420"/>
              </w:tabs>
              <w:kinsoku/>
              <w:overflowPunct/>
              <w:topLinePunct w:val="0"/>
              <w:autoSpaceDE/>
              <w:autoSpaceDN/>
              <w:bidi w:val="0"/>
              <w:adjustRightInd/>
              <w:snapToGrid/>
              <w:spacing w:line="300" w:lineRule="auto"/>
              <w:ind w:right="-107" w:rightChars="-51"/>
              <w:jc w:val="center"/>
              <w:textAlignment w:val="auto"/>
              <w:rPr>
                <w:rFonts w:hint="eastAsia" w:ascii="宋体" w:hAnsi="宋体" w:eastAsia="宋体" w:cs="宋体"/>
                <w:color w:val="auto"/>
                <w:sz w:val="24"/>
                <w:szCs w:val="24"/>
                <w:highlight w:val="none"/>
              </w:rPr>
            </w:pPr>
          </w:p>
        </w:tc>
        <w:tc>
          <w:tcPr>
            <w:tcW w:w="1555" w:type="dxa"/>
            <w:noWrap w:val="0"/>
            <w:vAlign w:val="center"/>
          </w:tcPr>
          <w:p w14:paraId="48A7D240">
            <w:pPr>
              <w:keepNext w:val="0"/>
              <w:keepLines w:val="0"/>
              <w:pageBreakBefore w:val="0"/>
              <w:widowControl w:val="0"/>
              <w:kinsoku/>
              <w:overflowPunct/>
              <w:topLinePunct w:val="0"/>
              <w:autoSpaceDE/>
              <w:autoSpaceDN/>
              <w:bidi w:val="0"/>
              <w:adjustRightInd/>
              <w:snapToGrid/>
              <w:spacing w:line="300" w:lineRule="auto"/>
              <w:jc w:val="center"/>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资格审查文件的制作要求及密封要求</w:t>
            </w:r>
          </w:p>
        </w:tc>
        <w:tc>
          <w:tcPr>
            <w:tcW w:w="7350" w:type="dxa"/>
            <w:noWrap w:val="0"/>
            <w:vAlign w:val="center"/>
          </w:tcPr>
          <w:p w14:paraId="5965C66B">
            <w:pPr>
              <w:keepNext w:val="0"/>
              <w:keepLines w:val="0"/>
              <w:pageBreakBefore w:val="0"/>
              <w:widowControl w:val="0"/>
              <w:numPr>
                <w:ilvl w:val="0"/>
                <w:numId w:val="18"/>
              </w:numPr>
              <w:kinsoku/>
              <w:overflowPunct/>
              <w:topLinePunct w:val="0"/>
              <w:autoSpaceDE/>
              <w:autoSpaceDN/>
              <w:bidi w:val="0"/>
              <w:adjustRightInd/>
              <w:snapToGrid/>
              <w:spacing w:line="300" w:lineRule="auto"/>
              <w:ind w:left="425" w:leftChars="0" w:hanging="425" w:firstLineChars="0"/>
              <w:textAlignment w:val="auto"/>
              <w:rPr>
                <w:rFonts w:hint="eastAsia" w:ascii="宋体" w:hAnsi="宋体" w:eastAsia="宋体" w:cs="宋体"/>
                <w:color w:val="auto"/>
                <w:sz w:val="24"/>
                <w:szCs w:val="24"/>
                <w:highlight w:val="none"/>
                <w:lang w:val="en-GB"/>
              </w:rPr>
            </w:pPr>
            <w:r>
              <w:rPr>
                <w:rFonts w:hint="eastAsia" w:ascii="宋体" w:hAnsi="宋体" w:eastAsia="宋体" w:cs="宋体"/>
                <w:color w:val="auto"/>
                <w:sz w:val="24"/>
                <w:szCs w:val="24"/>
                <w:highlight w:val="none"/>
                <w:lang w:val="en-GB"/>
              </w:rPr>
              <w:t>《资格审查文件》装订为一册。</w:t>
            </w:r>
          </w:p>
          <w:p w14:paraId="513FC7A5">
            <w:pPr>
              <w:keepNext w:val="0"/>
              <w:keepLines w:val="0"/>
              <w:pageBreakBefore w:val="0"/>
              <w:widowControl w:val="0"/>
              <w:numPr>
                <w:ilvl w:val="0"/>
                <w:numId w:val="18"/>
              </w:numPr>
              <w:kinsoku/>
              <w:overflowPunct/>
              <w:topLinePunct w:val="0"/>
              <w:autoSpaceDE/>
              <w:autoSpaceDN/>
              <w:bidi w:val="0"/>
              <w:adjustRightInd/>
              <w:snapToGrid/>
              <w:spacing w:line="300" w:lineRule="auto"/>
              <w:ind w:left="425" w:leftChars="0" w:hanging="425" w:firstLineChars="0"/>
              <w:textAlignment w:val="auto"/>
              <w:rPr>
                <w:rFonts w:hint="eastAsia" w:ascii="宋体" w:hAnsi="宋体" w:eastAsia="宋体" w:cs="宋体"/>
                <w:color w:val="auto"/>
                <w:sz w:val="24"/>
                <w:szCs w:val="24"/>
                <w:highlight w:val="none"/>
                <w:lang w:val="en-GB"/>
              </w:rPr>
            </w:pPr>
            <w:r>
              <w:rPr>
                <w:rFonts w:hint="eastAsia" w:ascii="宋体" w:hAnsi="宋体" w:eastAsia="宋体" w:cs="宋体"/>
                <w:color w:val="auto"/>
                <w:sz w:val="24"/>
                <w:szCs w:val="24"/>
                <w:highlight w:val="none"/>
                <w:lang w:val="en-GB"/>
              </w:rPr>
              <w:t>《资格审查文件》【正本】和【副本】的封面须加盖</w:t>
            </w:r>
            <w:r>
              <w:rPr>
                <w:rFonts w:hint="eastAsia" w:ascii="宋体" w:hAnsi="宋体" w:eastAsia="宋体" w:cs="宋体"/>
                <w:color w:val="auto"/>
                <w:sz w:val="24"/>
                <w:szCs w:val="24"/>
                <w:highlight w:val="none"/>
                <w:lang w:val="en-GB" w:eastAsia="zh-CN"/>
              </w:rPr>
              <w:t>投标人</w:t>
            </w:r>
            <w:r>
              <w:rPr>
                <w:rFonts w:hint="eastAsia" w:ascii="宋体" w:hAnsi="宋体" w:eastAsia="宋体" w:cs="宋体"/>
                <w:color w:val="auto"/>
                <w:sz w:val="24"/>
                <w:szCs w:val="24"/>
                <w:highlight w:val="none"/>
                <w:lang w:val="en-GB"/>
              </w:rPr>
              <w:t>公章，【副本】可为【正本】的复印件。</w:t>
            </w:r>
          </w:p>
          <w:p w14:paraId="4D62A179">
            <w:pPr>
              <w:keepNext w:val="0"/>
              <w:keepLines w:val="0"/>
              <w:pageBreakBefore w:val="0"/>
              <w:widowControl w:val="0"/>
              <w:numPr>
                <w:ilvl w:val="0"/>
                <w:numId w:val="18"/>
              </w:numPr>
              <w:kinsoku/>
              <w:overflowPunct/>
              <w:topLinePunct w:val="0"/>
              <w:autoSpaceDE/>
              <w:autoSpaceDN/>
              <w:bidi w:val="0"/>
              <w:adjustRightInd/>
              <w:snapToGrid/>
              <w:spacing w:line="300" w:lineRule="auto"/>
              <w:ind w:left="425" w:leftChars="0" w:hanging="425" w:firstLineChars="0"/>
              <w:textAlignment w:val="auto"/>
              <w:rPr>
                <w:rFonts w:hint="eastAsia" w:ascii="宋体" w:hAnsi="宋体" w:eastAsia="宋体" w:cs="宋体"/>
                <w:color w:val="auto"/>
                <w:sz w:val="24"/>
                <w:szCs w:val="24"/>
                <w:highlight w:val="none"/>
                <w:lang w:val="en-GB"/>
              </w:rPr>
            </w:pPr>
            <w:r>
              <w:rPr>
                <w:rFonts w:hint="eastAsia" w:ascii="宋体" w:hAnsi="宋体" w:eastAsia="宋体" w:cs="宋体"/>
                <w:color w:val="auto"/>
                <w:sz w:val="24"/>
                <w:szCs w:val="24"/>
                <w:highlight w:val="none"/>
                <w:lang w:val="en-GB"/>
              </w:rPr>
              <w:t>资格审查文件的【正本】、【副本】、【电子光盘】，均应密封在同一密封包中。若上述资料确实无法密封在同一密封包中，则可按实际情况分开密封，但须在密封包装上标明密封内容。</w:t>
            </w:r>
          </w:p>
          <w:p w14:paraId="0B10F325">
            <w:pPr>
              <w:keepNext w:val="0"/>
              <w:keepLines w:val="0"/>
              <w:pageBreakBefore w:val="0"/>
              <w:widowControl w:val="0"/>
              <w:numPr>
                <w:ilvl w:val="0"/>
                <w:numId w:val="18"/>
              </w:numPr>
              <w:kinsoku/>
              <w:overflowPunct/>
              <w:topLinePunct w:val="0"/>
              <w:autoSpaceDE/>
              <w:autoSpaceDN/>
              <w:bidi w:val="0"/>
              <w:adjustRightInd/>
              <w:snapToGrid/>
              <w:spacing w:line="300" w:lineRule="auto"/>
              <w:ind w:left="425" w:leftChars="0" w:hanging="425" w:firstLineChars="0"/>
              <w:textAlignment w:val="auto"/>
              <w:rPr>
                <w:rFonts w:hint="eastAsia" w:ascii="宋体" w:hAnsi="宋体" w:eastAsia="宋体" w:cs="宋体"/>
                <w:color w:val="auto"/>
                <w:sz w:val="24"/>
                <w:szCs w:val="24"/>
                <w:highlight w:val="none"/>
                <w:lang w:val="en-GB"/>
              </w:rPr>
            </w:pPr>
            <w:r>
              <w:rPr>
                <w:rFonts w:hint="eastAsia" w:ascii="宋体" w:hAnsi="宋体" w:eastAsia="宋体" w:cs="宋体"/>
                <w:color w:val="auto"/>
                <w:sz w:val="24"/>
                <w:szCs w:val="24"/>
                <w:highlight w:val="none"/>
                <w:lang w:val="en-GB"/>
              </w:rPr>
              <w:t>电子光盘内容：</w:t>
            </w:r>
            <w:r>
              <w:rPr>
                <w:rFonts w:hint="eastAsia" w:ascii="宋体" w:hAnsi="宋体" w:eastAsia="宋体" w:cs="宋体"/>
                <w:color w:val="auto"/>
                <w:sz w:val="24"/>
                <w:szCs w:val="24"/>
                <w:highlight w:val="none"/>
                <w:lang w:val="en-GB" w:eastAsia="zh-CN"/>
              </w:rPr>
              <w:t>竞投</w:t>
            </w:r>
            <w:r>
              <w:rPr>
                <w:rFonts w:hint="eastAsia" w:ascii="宋体" w:hAnsi="宋体" w:eastAsia="宋体" w:cs="宋体"/>
                <w:color w:val="auto"/>
                <w:sz w:val="24"/>
                <w:szCs w:val="24"/>
                <w:highlight w:val="none"/>
                <w:lang w:val="en-GB"/>
              </w:rPr>
              <w:t>文件正本的所有内容，WORD版可编辑文档格式。</w:t>
            </w:r>
          </w:p>
          <w:p w14:paraId="6C69F062">
            <w:pPr>
              <w:keepNext w:val="0"/>
              <w:keepLines w:val="0"/>
              <w:pageBreakBefore w:val="0"/>
              <w:widowControl w:val="0"/>
              <w:numPr>
                <w:ilvl w:val="0"/>
                <w:numId w:val="18"/>
              </w:numPr>
              <w:kinsoku/>
              <w:overflowPunct/>
              <w:topLinePunct w:val="0"/>
              <w:autoSpaceDE/>
              <w:autoSpaceDN/>
              <w:bidi w:val="0"/>
              <w:adjustRightInd/>
              <w:snapToGrid/>
              <w:spacing w:line="300" w:lineRule="auto"/>
              <w:ind w:left="425" w:leftChars="0" w:hanging="425" w:firstLineChars="0"/>
              <w:textAlignment w:val="auto"/>
              <w:rPr>
                <w:rFonts w:hint="eastAsia" w:ascii="宋体" w:hAnsi="宋体" w:eastAsia="宋体" w:cs="宋体"/>
                <w:color w:val="auto"/>
                <w:sz w:val="24"/>
                <w:szCs w:val="24"/>
                <w:highlight w:val="none"/>
                <w:lang w:val="en-GB"/>
              </w:rPr>
            </w:pPr>
            <w:r>
              <w:rPr>
                <w:rFonts w:hint="eastAsia" w:ascii="宋体" w:hAnsi="宋体" w:eastAsia="宋体" w:cs="宋体"/>
                <w:color w:val="auto"/>
                <w:sz w:val="24"/>
                <w:szCs w:val="24"/>
                <w:highlight w:val="none"/>
                <w:lang w:val="en-GB"/>
              </w:rPr>
              <w:t>密封各文件资料时，应在密封包装的封口处加盖</w:t>
            </w:r>
            <w:r>
              <w:rPr>
                <w:rFonts w:hint="eastAsia" w:ascii="宋体" w:hAnsi="宋体" w:eastAsia="宋体" w:cs="宋体"/>
                <w:color w:val="auto"/>
                <w:sz w:val="24"/>
                <w:szCs w:val="24"/>
                <w:highlight w:val="none"/>
                <w:lang w:val="en-GB" w:eastAsia="zh-CN"/>
              </w:rPr>
              <w:t>投标人</w:t>
            </w:r>
            <w:r>
              <w:rPr>
                <w:rFonts w:hint="eastAsia" w:ascii="宋体" w:hAnsi="宋体" w:eastAsia="宋体" w:cs="宋体"/>
                <w:color w:val="auto"/>
                <w:sz w:val="24"/>
                <w:szCs w:val="24"/>
                <w:highlight w:val="none"/>
                <w:lang w:val="en-GB"/>
              </w:rPr>
              <w:t>公章。所有密封文件封套正面统一按“文件包装袋封面”格式填写标贴。</w:t>
            </w:r>
          </w:p>
        </w:tc>
      </w:tr>
      <w:tr w14:paraId="1A1469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4" w:hRule="atLeast"/>
          <w:jc w:val="center"/>
        </w:trPr>
        <w:tc>
          <w:tcPr>
            <w:tcW w:w="709" w:type="dxa"/>
            <w:noWrap w:val="0"/>
            <w:vAlign w:val="center"/>
          </w:tcPr>
          <w:p w14:paraId="08EFCE7B">
            <w:pPr>
              <w:keepNext w:val="0"/>
              <w:keepLines w:val="0"/>
              <w:pageBreakBefore w:val="0"/>
              <w:widowControl w:val="0"/>
              <w:numPr>
                <w:ilvl w:val="0"/>
                <w:numId w:val="14"/>
              </w:numPr>
              <w:tabs>
                <w:tab w:val="left" w:pos="252"/>
                <w:tab w:val="clear" w:pos="420"/>
              </w:tabs>
              <w:kinsoku/>
              <w:overflowPunct/>
              <w:topLinePunct w:val="0"/>
              <w:autoSpaceDE/>
              <w:autoSpaceDN/>
              <w:bidi w:val="0"/>
              <w:adjustRightInd/>
              <w:snapToGrid/>
              <w:spacing w:line="300" w:lineRule="auto"/>
              <w:ind w:right="-107" w:rightChars="-51"/>
              <w:jc w:val="center"/>
              <w:textAlignment w:val="auto"/>
              <w:rPr>
                <w:rFonts w:hint="eastAsia" w:ascii="宋体" w:hAnsi="宋体" w:eastAsia="宋体" w:cs="宋体"/>
                <w:color w:val="auto"/>
                <w:sz w:val="24"/>
                <w:szCs w:val="24"/>
                <w:highlight w:val="none"/>
              </w:rPr>
            </w:pPr>
          </w:p>
        </w:tc>
        <w:tc>
          <w:tcPr>
            <w:tcW w:w="1555" w:type="dxa"/>
            <w:noWrap w:val="0"/>
            <w:vAlign w:val="center"/>
          </w:tcPr>
          <w:p w14:paraId="78FB2DE6">
            <w:pPr>
              <w:keepNext w:val="0"/>
              <w:keepLines w:val="0"/>
              <w:pageBreakBefore w:val="0"/>
              <w:widowControl w:val="0"/>
              <w:kinsoku/>
              <w:overflowPunct/>
              <w:topLinePunct w:val="0"/>
              <w:autoSpaceDE/>
              <w:autoSpaceDN/>
              <w:bidi w:val="0"/>
              <w:adjustRightInd/>
              <w:snapToGrid/>
              <w:spacing w:line="300" w:lineRule="auto"/>
              <w:jc w:val="center"/>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资格审查文件有效期</w:t>
            </w:r>
          </w:p>
        </w:tc>
        <w:tc>
          <w:tcPr>
            <w:tcW w:w="7350" w:type="dxa"/>
            <w:noWrap w:val="0"/>
            <w:vAlign w:val="center"/>
          </w:tcPr>
          <w:p w14:paraId="60715676">
            <w:pPr>
              <w:keepNext w:val="0"/>
              <w:keepLines w:val="0"/>
              <w:pageBreakBefore w:val="0"/>
              <w:widowControl w:val="0"/>
              <w:kinsoku/>
              <w:overflowPunct/>
              <w:topLinePunct w:val="0"/>
              <w:autoSpaceDE/>
              <w:autoSpaceDN/>
              <w:bidi w:val="0"/>
              <w:adjustRightInd/>
              <w:snapToGrid/>
              <w:spacing w:line="300" w:lineRule="auto"/>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递交资格审查文件截止日起</w:t>
            </w:r>
            <w:r>
              <w:rPr>
                <w:rFonts w:hint="eastAsia" w:ascii="宋体" w:hAnsi="宋体" w:eastAsia="宋体" w:cs="宋体"/>
                <w:color w:val="auto"/>
                <w:sz w:val="24"/>
                <w:szCs w:val="24"/>
                <w:highlight w:val="none"/>
                <w:lang w:val="en-US" w:eastAsia="zh-CN"/>
              </w:rPr>
              <w:t>60</w:t>
            </w:r>
            <w:r>
              <w:rPr>
                <w:rFonts w:hint="eastAsia" w:ascii="宋体" w:hAnsi="宋体" w:eastAsia="宋体" w:cs="宋体"/>
                <w:color w:val="auto"/>
                <w:sz w:val="24"/>
                <w:szCs w:val="24"/>
                <w:highlight w:val="none"/>
              </w:rPr>
              <w:t>天内有效，</w:t>
            </w:r>
            <w:r>
              <w:rPr>
                <w:rFonts w:hint="eastAsia" w:ascii="宋体" w:hAnsi="宋体" w:eastAsia="宋体" w:cs="宋体"/>
                <w:color w:val="auto"/>
                <w:sz w:val="24"/>
                <w:szCs w:val="24"/>
                <w:highlight w:val="none"/>
                <w:lang w:eastAsia="zh-CN"/>
              </w:rPr>
              <w:t>中标人</w:t>
            </w:r>
            <w:r>
              <w:rPr>
                <w:rFonts w:hint="eastAsia" w:ascii="宋体" w:hAnsi="宋体" w:eastAsia="宋体" w:cs="宋体"/>
                <w:color w:val="auto"/>
                <w:sz w:val="24"/>
                <w:szCs w:val="24"/>
                <w:highlight w:val="none"/>
              </w:rPr>
              <w:t>的有效期延续到项目验收之日。</w:t>
            </w:r>
          </w:p>
        </w:tc>
      </w:tr>
      <w:tr w14:paraId="733BC4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4" w:hRule="atLeast"/>
          <w:jc w:val="center"/>
        </w:trPr>
        <w:tc>
          <w:tcPr>
            <w:tcW w:w="709" w:type="dxa"/>
            <w:noWrap w:val="0"/>
            <w:vAlign w:val="center"/>
          </w:tcPr>
          <w:p w14:paraId="1EC22C3E">
            <w:pPr>
              <w:keepNext w:val="0"/>
              <w:keepLines w:val="0"/>
              <w:pageBreakBefore w:val="0"/>
              <w:widowControl w:val="0"/>
              <w:numPr>
                <w:ilvl w:val="0"/>
                <w:numId w:val="14"/>
              </w:numPr>
              <w:tabs>
                <w:tab w:val="left" w:pos="252"/>
                <w:tab w:val="clear" w:pos="420"/>
              </w:tabs>
              <w:kinsoku/>
              <w:overflowPunct/>
              <w:topLinePunct w:val="0"/>
              <w:autoSpaceDE/>
              <w:autoSpaceDN/>
              <w:bidi w:val="0"/>
              <w:adjustRightInd/>
              <w:snapToGrid/>
              <w:spacing w:line="300" w:lineRule="auto"/>
              <w:ind w:right="-107" w:rightChars="-51"/>
              <w:jc w:val="center"/>
              <w:textAlignment w:val="auto"/>
              <w:rPr>
                <w:rFonts w:hint="eastAsia" w:ascii="宋体" w:hAnsi="宋体" w:eastAsia="宋体" w:cs="宋体"/>
                <w:color w:val="auto"/>
                <w:sz w:val="24"/>
                <w:szCs w:val="24"/>
                <w:highlight w:val="none"/>
              </w:rPr>
            </w:pPr>
          </w:p>
        </w:tc>
        <w:tc>
          <w:tcPr>
            <w:tcW w:w="1555" w:type="dxa"/>
            <w:noWrap w:val="0"/>
            <w:vAlign w:val="center"/>
          </w:tcPr>
          <w:p w14:paraId="1AA6AFC0">
            <w:pPr>
              <w:keepNext w:val="0"/>
              <w:keepLines w:val="0"/>
              <w:pageBreakBefore w:val="0"/>
              <w:widowControl w:val="0"/>
              <w:kinsoku/>
              <w:overflowPunct/>
              <w:topLinePunct w:val="0"/>
              <w:autoSpaceDE/>
              <w:autoSpaceDN/>
              <w:bidi w:val="0"/>
              <w:adjustRightInd/>
              <w:snapToGrid/>
              <w:spacing w:line="300" w:lineRule="auto"/>
              <w:jc w:val="center"/>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定标</w:t>
            </w:r>
            <w:r>
              <w:rPr>
                <w:rFonts w:hint="eastAsia" w:ascii="宋体" w:hAnsi="宋体" w:eastAsia="宋体" w:cs="宋体"/>
                <w:color w:val="auto"/>
                <w:sz w:val="24"/>
                <w:szCs w:val="24"/>
                <w:highlight w:val="none"/>
              </w:rPr>
              <w:t>方法</w:t>
            </w:r>
          </w:p>
        </w:tc>
        <w:tc>
          <w:tcPr>
            <w:tcW w:w="7350" w:type="dxa"/>
            <w:noWrap w:val="0"/>
            <w:vAlign w:val="center"/>
          </w:tcPr>
          <w:p w14:paraId="19BF9932">
            <w:pPr>
              <w:keepNext w:val="0"/>
              <w:keepLines w:val="0"/>
              <w:pageBreakBefore w:val="0"/>
              <w:widowControl w:val="0"/>
              <w:kinsoku/>
              <w:overflowPunct/>
              <w:topLinePunct w:val="0"/>
              <w:autoSpaceDE/>
              <w:autoSpaceDN/>
              <w:bidi w:val="0"/>
              <w:adjustRightInd/>
              <w:snapToGrid/>
              <w:spacing w:line="300" w:lineRule="auto"/>
              <w:jc w:val="left"/>
              <w:textAlignment w:val="auto"/>
              <w:rPr>
                <w:rFonts w:hint="eastAsia" w:ascii="宋体" w:hAnsi="宋体" w:eastAsia="宋体" w:cs="宋体"/>
                <w:color w:val="auto"/>
                <w:sz w:val="24"/>
                <w:szCs w:val="24"/>
                <w:highlight w:val="none"/>
                <w:lang w:val="en-US" w:eastAsia="zh-CN"/>
              </w:rPr>
            </w:pPr>
            <w:r>
              <w:rPr>
                <w:rFonts w:hint="eastAsia" w:ascii="宋体" w:hAnsi="宋体" w:cs="宋体"/>
                <w:b/>
                <w:bCs/>
                <w:color w:val="auto"/>
                <w:sz w:val="24"/>
                <w:highlight w:val="none"/>
                <w:lang w:eastAsia="zh-CN"/>
              </w:rPr>
              <w:t>本项目采用一次性报价的暗标方式，价高者得的原则确定中标人。中标人所报的价格为向招标人支付管理费用。当有效投标人不足三家时，重新组织招标</w:t>
            </w:r>
            <w:r>
              <w:rPr>
                <w:rFonts w:hint="eastAsia" w:ascii="宋体" w:hAnsi="宋体" w:eastAsia="宋体" w:cs="宋体"/>
                <w:b/>
                <w:bCs/>
                <w:color w:val="auto"/>
                <w:sz w:val="24"/>
                <w:szCs w:val="24"/>
                <w:highlight w:val="none"/>
              </w:rPr>
              <w:t>。</w:t>
            </w:r>
          </w:p>
        </w:tc>
      </w:tr>
      <w:tr w14:paraId="442914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92" w:hRule="atLeast"/>
          <w:jc w:val="center"/>
        </w:trPr>
        <w:tc>
          <w:tcPr>
            <w:tcW w:w="709" w:type="dxa"/>
            <w:noWrap w:val="0"/>
            <w:vAlign w:val="center"/>
          </w:tcPr>
          <w:p w14:paraId="598CA552">
            <w:pPr>
              <w:keepNext w:val="0"/>
              <w:keepLines w:val="0"/>
              <w:pageBreakBefore w:val="0"/>
              <w:widowControl w:val="0"/>
              <w:numPr>
                <w:ilvl w:val="0"/>
                <w:numId w:val="14"/>
              </w:numPr>
              <w:tabs>
                <w:tab w:val="left" w:pos="252"/>
                <w:tab w:val="clear" w:pos="420"/>
              </w:tabs>
              <w:kinsoku/>
              <w:overflowPunct/>
              <w:topLinePunct w:val="0"/>
              <w:autoSpaceDE/>
              <w:autoSpaceDN/>
              <w:bidi w:val="0"/>
              <w:adjustRightInd/>
              <w:snapToGrid/>
              <w:spacing w:line="300" w:lineRule="auto"/>
              <w:ind w:right="-107" w:rightChars="-51"/>
              <w:jc w:val="center"/>
              <w:textAlignment w:val="auto"/>
              <w:rPr>
                <w:rFonts w:hint="eastAsia" w:ascii="宋体" w:hAnsi="宋体" w:eastAsia="宋体" w:cs="宋体"/>
                <w:color w:val="auto"/>
                <w:sz w:val="24"/>
                <w:szCs w:val="24"/>
                <w:highlight w:val="none"/>
              </w:rPr>
            </w:pPr>
          </w:p>
        </w:tc>
        <w:tc>
          <w:tcPr>
            <w:tcW w:w="1555" w:type="dxa"/>
            <w:noWrap w:val="0"/>
            <w:vAlign w:val="center"/>
          </w:tcPr>
          <w:p w14:paraId="1630E82E">
            <w:pPr>
              <w:keepNext w:val="0"/>
              <w:keepLines w:val="0"/>
              <w:pageBreakBefore w:val="0"/>
              <w:widowControl w:val="0"/>
              <w:kinsoku/>
              <w:overflowPunct/>
              <w:topLinePunct w:val="0"/>
              <w:autoSpaceDE/>
              <w:autoSpaceDN/>
              <w:bidi w:val="0"/>
              <w:adjustRightInd/>
              <w:snapToGrid/>
              <w:spacing w:line="300" w:lineRule="auto"/>
              <w:jc w:val="center"/>
              <w:textAlignment w:val="auto"/>
              <w:rPr>
                <w:rFonts w:hint="eastAsia" w:ascii="宋体" w:hAnsi="宋体" w:eastAsia="宋体" w:cs="宋体"/>
                <w:color w:val="auto"/>
                <w:sz w:val="24"/>
                <w:szCs w:val="24"/>
                <w:highlight w:val="none"/>
                <w:lang w:eastAsia="zh-CN"/>
              </w:rPr>
            </w:pPr>
            <w:r>
              <w:rPr>
                <w:rFonts w:hint="eastAsia" w:ascii="宋体" w:hAnsi="宋体" w:eastAsia="宋体" w:cs="宋体"/>
                <w:sz w:val="24"/>
                <w:szCs w:val="24"/>
                <w:highlight w:val="none"/>
              </w:rPr>
              <w:t>中标服务费</w:t>
            </w:r>
          </w:p>
        </w:tc>
        <w:tc>
          <w:tcPr>
            <w:tcW w:w="7350" w:type="dxa"/>
            <w:noWrap w:val="0"/>
            <w:vAlign w:val="center"/>
          </w:tcPr>
          <w:p w14:paraId="01A46A2C">
            <w:pPr>
              <w:keepNext w:val="0"/>
              <w:keepLines w:val="0"/>
              <w:pageBreakBefore w:val="0"/>
              <w:widowControl w:val="0"/>
              <w:numPr>
                <w:ilvl w:val="0"/>
                <w:numId w:val="19"/>
              </w:numPr>
              <w:kinsoku/>
              <w:wordWrap/>
              <w:overflowPunct/>
              <w:topLinePunct w:val="0"/>
              <w:autoSpaceDE/>
              <w:autoSpaceDN/>
              <w:bidi w:val="0"/>
              <w:adjustRightInd/>
              <w:snapToGrid/>
              <w:spacing w:line="300" w:lineRule="auto"/>
              <w:ind w:left="425" w:leftChars="0" w:hanging="425" w:firstLineChars="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中标人</w:t>
            </w:r>
            <w:r>
              <w:rPr>
                <w:rFonts w:hint="eastAsia" w:ascii="宋体" w:hAnsi="宋体" w:eastAsia="宋体" w:cs="宋体"/>
                <w:sz w:val="24"/>
                <w:szCs w:val="24"/>
                <w:highlight w:val="none"/>
              </w:rPr>
              <w:t>在《</w:t>
            </w:r>
            <w:r>
              <w:rPr>
                <w:rFonts w:hint="eastAsia" w:ascii="宋体" w:hAnsi="宋体" w:eastAsia="宋体" w:cs="宋体"/>
                <w:sz w:val="24"/>
                <w:szCs w:val="24"/>
                <w:highlight w:val="none"/>
                <w:lang w:val="en-US" w:eastAsia="zh-CN"/>
              </w:rPr>
              <w:t>中标</w:t>
            </w:r>
            <w:r>
              <w:rPr>
                <w:rFonts w:hint="eastAsia" w:ascii="宋体" w:hAnsi="宋体" w:eastAsia="宋体" w:cs="宋体"/>
                <w:sz w:val="24"/>
                <w:szCs w:val="24"/>
                <w:highlight w:val="none"/>
              </w:rPr>
              <w:t>通知书》发出后三个工作日内一次性向</w:t>
            </w:r>
            <w:r>
              <w:rPr>
                <w:rFonts w:hint="eastAsia" w:ascii="宋体" w:hAnsi="宋体" w:eastAsia="宋体" w:cs="宋体"/>
                <w:sz w:val="24"/>
                <w:szCs w:val="24"/>
                <w:highlight w:val="none"/>
                <w:lang w:eastAsia="zh-CN"/>
              </w:rPr>
              <w:t>招标代理机构</w:t>
            </w:r>
            <w:r>
              <w:rPr>
                <w:rFonts w:hint="eastAsia" w:ascii="宋体" w:hAnsi="宋体" w:eastAsia="宋体" w:cs="宋体"/>
                <w:sz w:val="24"/>
                <w:szCs w:val="24"/>
                <w:highlight w:val="none"/>
              </w:rPr>
              <w:t>支付</w:t>
            </w:r>
            <w:r>
              <w:rPr>
                <w:rFonts w:hint="eastAsia" w:ascii="宋体" w:hAnsi="宋体" w:eastAsia="宋体" w:cs="宋体"/>
                <w:color w:val="auto"/>
                <w:sz w:val="24"/>
                <w:szCs w:val="24"/>
                <w:highlight w:val="none"/>
                <w:lang w:val="en-GB"/>
              </w:rPr>
              <w:t>中标</w:t>
            </w:r>
            <w:r>
              <w:rPr>
                <w:rFonts w:hint="eastAsia" w:ascii="宋体" w:hAnsi="宋体" w:eastAsia="宋体" w:cs="宋体"/>
                <w:sz w:val="24"/>
                <w:szCs w:val="24"/>
                <w:highlight w:val="none"/>
              </w:rPr>
              <w:t>服务费</w:t>
            </w:r>
            <w:r>
              <w:rPr>
                <w:rFonts w:hint="eastAsia" w:ascii="宋体" w:hAnsi="宋体" w:eastAsia="宋体" w:cs="宋体"/>
                <w:sz w:val="24"/>
                <w:szCs w:val="24"/>
                <w:highlight w:val="none"/>
                <w:lang w:eastAsia="zh-CN"/>
              </w:rPr>
              <w:t>。</w:t>
            </w:r>
          </w:p>
          <w:p w14:paraId="27C1AE77">
            <w:pPr>
              <w:keepNext w:val="0"/>
              <w:keepLines w:val="0"/>
              <w:pageBreakBefore w:val="0"/>
              <w:widowControl w:val="0"/>
              <w:numPr>
                <w:ilvl w:val="0"/>
                <w:numId w:val="19"/>
              </w:numPr>
              <w:kinsoku/>
              <w:wordWrap/>
              <w:overflowPunct/>
              <w:topLinePunct w:val="0"/>
              <w:autoSpaceDE/>
              <w:autoSpaceDN/>
              <w:bidi w:val="0"/>
              <w:adjustRightInd/>
              <w:snapToGrid/>
              <w:spacing w:line="300" w:lineRule="auto"/>
              <w:ind w:left="425" w:leftChars="0" w:hanging="425" w:firstLineChars="0"/>
              <w:textAlignment w:val="auto"/>
              <w:rPr>
                <w:rFonts w:hint="eastAsia" w:ascii="宋体" w:hAnsi="宋体" w:eastAsia="宋体" w:cs="宋体"/>
                <w:sz w:val="24"/>
                <w:szCs w:val="24"/>
                <w:highlight w:val="none"/>
              </w:rPr>
            </w:pPr>
            <w:r>
              <w:rPr>
                <w:rFonts w:hint="eastAsia" w:ascii="宋体" w:hAnsi="宋体" w:eastAsia="宋体" w:cs="宋体"/>
                <w:color w:val="auto"/>
                <w:sz w:val="24"/>
                <w:szCs w:val="24"/>
                <w:highlight w:val="none"/>
                <w:lang w:val="en-GB"/>
              </w:rPr>
              <w:t>中标</w:t>
            </w:r>
            <w:r>
              <w:rPr>
                <w:rFonts w:hint="eastAsia" w:ascii="宋体" w:hAnsi="宋体" w:eastAsia="宋体" w:cs="宋体"/>
                <w:sz w:val="24"/>
                <w:szCs w:val="24"/>
                <w:highlight w:val="none"/>
              </w:rPr>
              <w:t>服务费</w:t>
            </w:r>
            <w:r>
              <w:rPr>
                <w:rFonts w:hint="eastAsia" w:ascii="宋体" w:hAnsi="宋体" w:eastAsia="宋体" w:cs="宋体"/>
                <w:color w:val="auto"/>
                <w:sz w:val="24"/>
                <w:szCs w:val="24"/>
                <w:highlight w:val="none"/>
                <w:lang w:val="en-GB"/>
              </w:rPr>
              <w:t>金额</w:t>
            </w:r>
            <w:r>
              <w:rPr>
                <w:rFonts w:hint="eastAsia" w:ascii="宋体" w:hAnsi="宋体" w:eastAsia="宋体" w:cs="宋体"/>
                <w:sz w:val="24"/>
                <w:szCs w:val="24"/>
                <w:highlight w:val="none"/>
              </w:rPr>
              <w:t>（人民币）：</w:t>
            </w:r>
            <w:r>
              <w:rPr>
                <w:rFonts w:hint="eastAsia" w:ascii="宋体" w:hAnsi="宋体" w:eastAsia="宋体" w:cs="宋体"/>
                <w:sz w:val="24"/>
                <w:szCs w:val="24"/>
                <w:highlight w:val="none"/>
                <w:lang w:val="en-US" w:eastAsia="zh-CN"/>
              </w:rPr>
              <w:t>3,500.00</w:t>
            </w:r>
            <w:r>
              <w:rPr>
                <w:rFonts w:hint="eastAsia" w:ascii="宋体" w:hAnsi="宋体" w:eastAsia="宋体" w:cs="宋体"/>
                <w:sz w:val="24"/>
                <w:szCs w:val="24"/>
                <w:highlight w:val="none"/>
              </w:rPr>
              <w:t>元。</w:t>
            </w:r>
          </w:p>
          <w:p w14:paraId="7ECD147D">
            <w:pPr>
              <w:keepNext w:val="0"/>
              <w:keepLines w:val="0"/>
              <w:pageBreakBefore w:val="0"/>
              <w:widowControl w:val="0"/>
              <w:numPr>
                <w:ilvl w:val="0"/>
                <w:numId w:val="19"/>
              </w:numPr>
              <w:kinsoku/>
              <w:wordWrap/>
              <w:overflowPunct/>
              <w:topLinePunct w:val="0"/>
              <w:autoSpaceDE/>
              <w:autoSpaceDN/>
              <w:bidi w:val="0"/>
              <w:adjustRightInd/>
              <w:snapToGrid/>
              <w:spacing w:line="300" w:lineRule="auto"/>
              <w:ind w:left="425" w:leftChars="0" w:hanging="425" w:firstLineChars="0"/>
              <w:textAlignment w:val="auto"/>
              <w:rPr>
                <w:rFonts w:hint="eastAsia" w:ascii="宋体" w:hAnsi="宋体" w:eastAsia="宋体" w:cs="宋体"/>
                <w:sz w:val="24"/>
                <w:szCs w:val="24"/>
                <w:highlight w:val="none"/>
              </w:rPr>
            </w:pPr>
            <w:r>
              <w:rPr>
                <w:rFonts w:hint="eastAsia" w:ascii="宋体" w:hAnsi="宋体" w:eastAsia="宋体" w:cs="宋体"/>
                <w:color w:val="auto"/>
                <w:sz w:val="24"/>
                <w:szCs w:val="24"/>
                <w:highlight w:val="none"/>
                <w:lang w:val="en-GB"/>
              </w:rPr>
              <w:t>支付</w:t>
            </w:r>
            <w:r>
              <w:rPr>
                <w:rFonts w:hint="eastAsia" w:ascii="宋体" w:hAnsi="宋体" w:eastAsia="宋体" w:cs="宋体"/>
                <w:sz w:val="24"/>
                <w:szCs w:val="24"/>
                <w:highlight w:val="none"/>
              </w:rPr>
              <w:t>中标服务费银行账户信息如下：</w:t>
            </w:r>
          </w:p>
          <w:p w14:paraId="6510B272">
            <w:pPr>
              <w:pStyle w:val="34"/>
              <w:keepNext w:val="0"/>
              <w:keepLines w:val="0"/>
              <w:pageBreakBefore w:val="0"/>
              <w:widowControl w:val="0"/>
              <w:kinsoku/>
              <w:wordWrap/>
              <w:overflowPunct/>
              <w:topLinePunct w:val="0"/>
              <w:autoSpaceDE/>
              <w:autoSpaceDN/>
              <w:bidi w:val="0"/>
              <w:adjustRightInd/>
              <w:snapToGrid/>
              <w:spacing w:line="300" w:lineRule="auto"/>
              <w:textAlignment w:val="auto"/>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rPr>
              <w:t>开户名称：</w:t>
            </w:r>
            <w:r>
              <w:rPr>
                <w:rFonts w:hint="eastAsia" w:ascii="宋体" w:hAnsi="宋体" w:eastAsia="宋体" w:cs="宋体"/>
                <w:sz w:val="24"/>
                <w:szCs w:val="24"/>
                <w:highlight w:val="none"/>
                <w:lang w:eastAsia="zh-CN"/>
              </w:rPr>
              <w:t>广东中采招标有限公司</w:t>
            </w:r>
          </w:p>
          <w:p w14:paraId="2FE0B171">
            <w:pPr>
              <w:pStyle w:val="34"/>
              <w:keepNext w:val="0"/>
              <w:keepLines w:val="0"/>
              <w:pageBreakBefore w:val="0"/>
              <w:widowControl w:val="0"/>
              <w:kinsoku/>
              <w:wordWrap/>
              <w:overflowPunct/>
              <w:topLinePunct w:val="0"/>
              <w:autoSpaceDE/>
              <w:autoSpaceDN/>
              <w:bidi w:val="0"/>
              <w:adjustRightInd/>
              <w:snapToGrid/>
              <w:spacing w:line="300" w:lineRule="auto"/>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开户行名称：兴业银行股份有限公司佛山分行</w:t>
            </w:r>
          </w:p>
          <w:p w14:paraId="2A84D212">
            <w:pPr>
              <w:pStyle w:val="34"/>
              <w:keepNext w:val="0"/>
              <w:keepLines w:val="0"/>
              <w:pageBreakBefore w:val="0"/>
              <w:widowControl w:val="0"/>
              <w:kinsoku/>
              <w:wordWrap/>
              <w:overflowPunct/>
              <w:topLinePunct w:val="0"/>
              <w:autoSpaceDE/>
              <w:autoSpaceDN/>
              <w:bidi w:val="0"/>
              <w:adjustRightInd/>
              <w:snapToGrid/>
              <w:spacing w:line="300" w:lineRule="auto"/>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银行账号：392060100100155323</w:t>
            </w:r>
          </w:p>
          <w:p w14:paraId="2D82AAD7">
            <w:pPr>
              <w:keepNext w:val="0"/>
              <w:keepLines w:val="0"/>
              <w:pageBreakBefore w:val="0"/>
              <w:widowControl w:val="0"/>
              <w:numPr>
                <w:ilvl w:val="0"/>
                <w:numId w:val="19"/>
              </w:numPr>
              <w:kinsoku/>
              <w:wordWrap/>
              <w:overflowPunct/>
              <w:topLinePunct w:val="0"/>
              <w:autoSpaceDE/>
              <w:autoSpaceDN/>
              <w:bidi w:val="0"/>
              <w:adjustRightInd/>
              <w:snapToGrid/>
              <w:spacing w:line="300" w:lineRule="auto"/>
              <w:ind w:left="425" w:leftChars="0" w:hanging="425" w:firstLineChars="0"/>
              <w:textAlignment w:val="auto"/>
              <w:rPr>
                <w:rFonts w:hint="eastAsia" w:ascii="宋体" w:hAnsi="宋体" w:eastAsia="宋体" w:cs="宋体"/>
                <w:color w:val="auto"/>
                <w:sz w:val="24"/>
                <w:szCs w:val="24"/>
                <w:highlight w:val="none"/>
                <w:lang w:val="zh-CN"/>
              </w:rPr>
            </w:pPr>
            <w:r>
              <w:rPr>
                <w:rFonts w:hint="eastAsia" w:ascii="宋体" w:hAnsi="宋体" w:eastAsia="宋体" w:cs="宋体"/>
                <w:sz w:val="24"/>
                <w:szCs w:val="24"/>
                <w:highlight w:val="none"/>
              </w:rPr>
              <w:t>在办理转账时，请在转账摘要上注明“</w:t>
            </w:r>
            <w:r>
              <w:rPr>
                <w:rFonts w:hint="eastAsia" w:ascii="宋体" w:hAnsi="宋体" w:eastAsia="宋体" w:cs="宋体"/>
                <w:sz w:val="24"/>
                <w:szCs w:val="24"/>
                <w:highlight w:val="none"/>
                <w:u w:val="single"/>
              </w:rPr>
              <w:t>中标服务费</w:t>
            </w:r>
            <w:r>
              <w:rPr>
                <w:rFonts w:hint="eastAsia" w:ascii="宋体" w:hAnsi="宋体" w:eastAsia="宋体" w:cs="宋体"/>
                <w:sz w:val="24"/>
                <w:szCs w:val="24"/>
                <w:highlight w:val="none"/>
              </w:rPr>
              <w:t>”字样。</w:t>
            </w:r>
          </w:p>
        </w:tc>
      </w:tr>
      <w:tr w14:paraId="00B1F6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2" w:hRule="atLeast"/>
          <w:jc w:val="center"/>
        </w:trPr>
        <w:tc>
          <w:tcPr>
            <w:tcW w:w="709" w:type="dxa"/>
            <w:noWrap w:val="0"/>
            <w:vAlign w:val="center"/>
          </w:tcPr>
          <w:p w14:paraId="21181D7B">
            <w:pPr>
              <w:keepNext w:val="0"/>
              <w:keepLines w:val="0"/>
              <w:pageBreakBefore w:val="0"/>
              <w:widowControl w:val="0"/>
              <w:numPr>
                <w:ilvl w:val="0"/>
                <w:numId w:val="14"/>
              </w:numPr>
              <w:tabs>
                <w:tab w:val="left" w:pos="252"/>
                <w:tab w:val="clear" w:pos="420"/>
              </w:tabs>
              <w:kinsoku/>
              <w:overflowPunct/>
              <w:topLinePunct w:val="0"/>
              <w:autoSpaceDE/>
              <w:autoSpaceDN/>
              <w:bidi w:val="0"/>
              <w:adjustRightInd/>
              <w:snapToGrid/>
              <w:spacing w:line="300" w:lineRule="auto"/>
              <w:ind w:right="-107" w:rightChars="-51"/>
              <w:jc w:val="center"/>
              <w:textAlignment w:val="auto"/>
              <w:rPr>
                <w:rFonts w:hint="eastAsia" w:ascii="宋体" w:hAnsi="宋体" w:eastAsia="宋体" w:cs="宋体"/>
                <w:color w:val="auto"/>
                <w:sz w:val="24"/>
                <w:szCs w:val="24"/>
                <w:highlight w:val="none"/>
              </w:rPr>
            </w:pPr>
          </w:p>
        </w:tc>
        <w:tc>
          <w:tcPr>
            <w:tcW w:w="1555" w:type="dxa"/>
            <w:noWrap w:val="0"/>
            <w:vAlign w:val="center"/>
          </w:tcPr>
          <w:p w14:paraId="3E0A987A">
            <w:pPr>
              <w:keepNext w:val="0"/>
              <w:keepLines w:val="0"/>
              <w:pageBreakBefore w:val="0"/>
              <w:widowControl w:val="0"/>
              <w:kinsoku/>
              <w:overflowPunct/>
              <w:topLinePunct w:val="0"/>
              <w:autoSpaceDE/>
              <w:autoSpaceDN/>
              <w:bidi w:val="0"/>
              <w:adjustRightInd/>
              <w:snapToGrid/>
              <w:spacing w:line="300" w:lineRule="auto"/>
              <w:jc w:val="center"/>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相关公告发布媒介</w:t>
            </w:r>
          </w:p>
        </w:tc>
        <w:tc>
          <w:tcPr>
            <w:tcW w:w="7350" w:type="dxa"/>
            <w:noWrap w:val="0"/>
            <w:vAlign w:val="center"/>
          </w:tcPr>
          <w:p w14:paraId="62E84F0E">
            <w:pPr>
              <w:pStyle w:val="2"/>
              <w:keepNext w:val="0"/>
              <w:keepLines w:val="0"/>
              <w:pageBreakBefore w:val="0"/>
              <w:widowControl w:val="0"/>
              <w:kinsoku/>
              <w:wordWrap w:val="0"/>
              <w:overflowPunct/>
              <w:topLinePunct w:val="0"/>
              <w:autoSpaceDE/>
              <w:autoSpaceDN/>
              <w:bidi w:val="0"/>
              <w:adjustRightInd/>
              <w:snapToGrid/>
              <w:spacing w:after="0" w:line="300" w:lineRule="auto"/>
              <w:textAlignment w:val="auto"/>
              <w:rPr>
                <w:rFonts w:hint="eastAsia" w:ascii="宋体" w:hAnsi="宋体" w:eastAsia="宋体" w:cs="宋体"/>
                <w:sz w:val="24"/>
                <w:szCs w:val="24"/>
                <w:highlight w:val="none"/>
                <w:lang w:eastAsia="zh-CN"/>
              </w:rPr>
            </w:pPr>
            <w:r>
              <w:rPr>
                <w:rFonts w:hint="eastAsia" w:ascii="宋体" w:hAnsi="宋体" w:eastAsia="宋体" w:cs="宋体"/>
                <w:color w:val="auto"/>
                <w:sz w:val="24"/>
                <w:szCs w:val="24"/>
                <w:highlight w:val="none"/>
                <w:u w:val="none"/>
                <w:lang w:eastAsia="zh-CN"/>
              </w:rPr>
              <w:t>招标代理机构</w:t>
            </w:r>
            <w:r>
              <w:rPr>
                <w:rFonts w:hint="eastAsia" w:ascii="宋体" w:hAnsi="宋体" w:eastAsia="宋体" w:cs="宋体"/>
                <w:color w:val="auto"/>
                <w:sz w:val="24"/>
                <w:szCs w:val="24"/>
                <w:highlight w:val="none"/>
                <w:u w:val="none"/>
              </w:rPr>
              <w:t>网站</w:t>
            </w:r>
            <w:r>
              <w:rPr>
                <w:rFonts w:hint="eastAsia" w:ascii="宋体" w:hAnsi="宋体" w:eastAsia="宋体" w:cs="宋体"/>
                <w:color w:val="auto"/>
                <w:sz w:val="24"/>
                <w:szCs w:val="24"/>
                <w:highlight w:val="none"/>
                <w:u w:val="none"/>
                <w:lang w:eastAsia="zh-CN"/>
              </w:rPr>
              <w:t>：</w:t>
            </w:r>
            <w:r>
              <w:rPr>
                <w:rFonts w:hint="eastAsia" w:ascii="宋体" w:hAnsi="宋体" w:eastAsia="宋体" w:cs="宋体"/>
                <w:color w:val="auto"/>
                <w:sz w:val="24"/>
                <w:szCs w:val="24"/>
                <w:highlight w:val="none"/>
                <w:u w:val="none"/>
              </w:rPr>
              <w:t>（http</w:t>
            </w:r>
            <w:r>
              <w:rPr>
                <w:rFonts w:hint="eastAsia" w:ascii="宋体" w:hAnsi="宋体" w:eastAsia="宋体" w:cs="宋体"/>
                <w:color w:val="auto"/>
                <w:sz w:val="24"/>
                <w:szCs w:val="24"/>
                <w:highlight w:val="none"/>
                <w:u w:val="none"/>
                <w:lang w:eastAsia="zh-CN"/>
              </w:rPr>
              <w:t>：</w:t>
            </w:r>
            <w:r>
              <w:rPr>
                <w:rFonts w:hint="eastAsia" w:ascii="宋体" w:hAnsi="宋体" w:eastAsia="宋体" w:cs="宋体"/>
                <w:color w:val="auto"/>
                <w:sz w:val="24"/>
                <w:szCs w:val="24"/>
                <w:highlight w:val="none"/>
                <w:u w:val="none"/>
              </w:rPr>
              <w:t>//ww</w:t>
            </w:r>
            <w:r>
              <w:rPr>
                <w:rFonts w:hint="eastAsia" w:ascii="宋体" w:hAnsi="宋体" w:eastAsia="宋体" w:cs="宋体"/>
                <w:color w:val="auto"/>
                <w:sz w:val="24"/>
                <w:szCs w:val="24"/>
                <w:highlight w:val="none"/>
              </w:rPr>
              <w:t>w.gdzczb.com/）</w:t>
            </w:r>
            <w:r>
              <w:rPr>
                <w:rFonts w:hint="eastAsia" w:ascii="宋体" w:hAnsi="宋体" w:eastAsia="宋体" w:cs="宋体"/>
                <w:color w:val="auto"/>
                <w:sz w:val="24"/>
                <w:szCs w:val="24"/>
                <w:highlight w:val="none"/>
                <w:lang w:eastAsia="zh-CN"/>
              </w:rPr>
              <w:t>。</w:t>
            </w:r>
          </w:p>
        </w:tc>
      </w:tr>
    </w:tbl>
    <w:p w14:paraId="1426E5E9">
      <w:pPr>
        <w:pStyle w:val="12"/>
        <w:rPr>
          <w:color w:val="auto"/>
          <w:highlight w:val="none"/>
        </w:rPr>
      </w:pPr>
      <w:bookmarkStart w:id="36" w:name="_Toc334432590"/>
    </w:p>
    <w:p w14:paraId="1BB7AE15">
      <w:pPr>
        <w:spacing w:after="72" w:afterLines="30" w:line="336" w:lineRule="auto"/>
        <w:ind w:right="-178" w:rightChars="-85"/>
        <w:jc w:val="center"/>
        <w:outlineLvl w:val="1"/>
        <w:rPr>
          <w:rFonts w:ascii="宋体"/>
          <w:b/>
          <w:color w:val="auto"/>
          <w:sz w:val="28"/>
          <w:szCs w:val="28"/>
          <w:highlight w:val="none"/>
        </w:rPr>
      </w:pPr>
      <w:r>
        <w:rPr>
          <w:rFonts w:ascii="宋体"/>
          <w:b/>
          <w:color w:val="auto"/>
          <w:sz w:val="28"/>
          <w:szCs w:val="28"/>
          <w:highlight w:val="none"/>
        </w:rPr>
        <w:br w:type="page"/>
      </w:r>
      <w:bookmarkStart w:id="37" w:name="_Toc3357"/>
      <w:bookmarkStart w:id="38" w:name="_Toc3020"/>
      <w:bookmarkStart w:id="39" w:name="_Toc17337"/>
      <w:bookmarkStart w:id="40" w:name="_Toc12687"/>
      <w:r>
        <w:rPr>
          <w:rFonts w:hint="eastAsia" w:ascii="宋体" w:hAnsi="宋体"/>
          <w:b/>
          <w:color w:val="auto"/>
          <w:sz w:val="28"/>
          <w:szCs w:val="28"/>
          <w:highlight w:val="none"/>
        </w:rPr>
        <w:t>二、总则及概念释义</w:t>
      </w:r>
      <w:bookmarkEnd w:id="36"/>
      <w:bookmarkEnd w:id="37"/>
      <w:bookmarkEnd w:id="38"/>
      <w:bookmarkEnd w:id="39"/>
      <w:bookmarkEnd w:id="40"/>
    </w:p>
    <w:p w14:paraId="30A284DD">
      <w:pPr>
        <w:numPr>
          <w:ilvl w:val="0"/>
          <w:numId w:val="20"/>
        </w:numPr>
        <w:tabs>
          <w:tab w:val="left" w:pos="540"/>
        </w:tabs>
        <w:spacing w:line="360" w:lineRule="auto"/>
        <w:ind w:left="420" w:leftChars="0" w:hanging="420" w:firstLineChars="0"/>
        <w:rPr>
          <w:rFonts w:ascii="宋体"/>
          <w:color w:val="auto"/>
          <w:sz w:val="24"/>
          <w:highlight w:val="none"/>
        </w:rPr>
      </w:pPr>
      <w:r>
        <w:rPr>
          <w:rFonts w:hint="eastAsia" w:ascii="宋体" w:hAnsi="宋体"/>
          <w:b/>
          <w:color w:val="auto"/>
          <w:sz w:val="24"/>
          <w:highlight w:val="none"/>
        </w:rPr>
        <w:t>招标适用范围：</w:t>
      </w:r>
      <w:r>
        <w:rPr>
          <w:rFonts w:hint="eastAsia" w:ascii="宋体" w:hAnsi="宋体"/>
          <w:color w:val="auto"/>
          <w:sz w:val="24"/>
          <w:highlight w:val="none"/>
        </w:rPr>
        <w:t>本</w:t>
      </w:r>
      <w:r>
        <w:rPr>
          <w:rFonts w:hint="eastAsia" w:ascii="宋体" w:hAnsi="宋体"/>
          <w:color w:val="auto"/>
          <w:sz w:val="24"/>
          <w:highlight w:val="none"/>
          <w:lang w:eastAsia="zh-CN"/>
        </w:rPr>
        <w:t>竞投文件</w:t>
      </w:r>
      <w:r>
        <w:rPr>
          <w:rFonts w:hint="eastAsia" w:ascii="宋体" w:hAnsi="宋体"/>
          <w:color w:val="auto"/>
          <w:sz w:val="24"/>
          <w:highlight w:val="none"/>
        </w:rPr>
        <w:t>仅适用于本次</w:t>
      </w:r>
      <w:r>
        <w:rPr>
          <w:rFonts w:hint="eastAsia" w:ascii="宋体" w:hAnsi="宋体"/>
          <w:color w:val="auto"/>
          <w:sz w:val="24"/>
          <w:highlight w:val="none"/>
          <w:lang w:eastAsia="zh-CN"/>
        </w:rPr>
        <w:t>竞</w:t>
      </w:r>
      <w:r>
        <w:rPr>
          <w:rFonts w:hint="eastAsia" w:ascii="宋体" w:hAnsi="宋体" w:cs="Times New Roman"/>
          <w:color w:val="auto"/>
          <w:sz w:val="24"/>
          <w:highlight w:val="none"/>
          <w:lang w:eastAsia="zh-CN"/>
        </w:rPr>
        <w:t>投公告中所叙述的项目内容及相关伴随服务。本次招标采用公开招标一次性报价暗标竞投的方式，价高者得的原则确定中标人。中标人所报的价格为向招标人支付管理费用。</w:t>
      </w:r>
    </w:p>
    <w:p w14:paraId="1677CA0D">
      <w:pPr>
        <w:numPr>
          <w:ilvl w:val="0"/>
          <w:numId w:val="20"/>
        </w:numPr>
        <w:tabs>
          <w:tab w:val="left" w:pos="540"/>
        </w:tabs>
        <w:spacing w:before="120" w:beforeLines="50" w:line="360" w:lineRule="auto"/>
        <w:ind w:left="420" w:leftChars="0" w:hanging="420" w:firstLineChars="0"/>
        <w:rPr>
          <w:rFonts w:ascii="宋体"/>
          <w:b/>
          <w:color w:val="auto"/>
          <w:sz w:val="24"/>
          <w:highlight w:val="none"/>
        </w:rPr>
      </w:pPr>
      <w:r>
        <w:rPr>
          <w:rFonts w:hint="eastAsia" w:ascii="宋体" w:hAnsi="宋体"/>
          <w:b/>
          <w:color w:val="auto"/>
          <w:sz w:val="24"/>
          <w:highlight w:val="none"/>
        </w:rPr>
        <w:t>本《</w:t>
      </w:r>
      <w:r>
        <w:rPr>
          <w:rFonts w:hint="eastAsia" w:ascii="宋体" w:hAnsi="宋体"/>
          <w:b/>
          <w:color w:val="auto"/>
          <w:sz w:val="24"/>
          <w:highlight w:val="none"/>
          <w:lang w:eastAsia="zh-CN"/>
        </w:rPr>
        <w:t>竞投文件</w:t>
      </w:r>
      <w:r>
        <w:rPr>
          <w:rFonts w:hint="eastAsia" w:ascii="宋体" w:hAnsi="宋体"/>
          <w:b/>
          <w:color w:val="auto"/>
          <w:sz w:val="24"/>
          <w:highlight w:val="none"/>
        </w:rPr>
        <w:t>》使用的词语有如下定义：</w:t>
      </w:r>
    </w:p>
    <w:p w14:paraId="334DC0D4">
      <w:pPr>
        <w:numPr>
          <w:ilvl w:val="0"/>
          <w:numId w:val="0"/>
        </w:numPr>
        <w:tabs>
          <w:tab w:val="left" w:pos="540"/>
        </w:tabs>
        <w:spacing w:line="360" w:lineRule="auto"/>
        <w:ind w:left="480" w:hanging="480" w:hangingChars="200"/>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lang w:val="en-US" w:eastAsia="zh-CN"/>
        </w:rPr>
        <w:t>2.1</w:t>
      </w:r>
      <w:r>
        <w:rPr>
          <w:rFonts w:hint="eastAsia" w:asciiTheme="minorEastAsia" w:hAnsiTheme="minorEastAsia" w:eastAsiaTheme="minorEastAsia" w:cstheme="minorEastAsia"/>
          <w:color w:val="auto"/>
          <w:sz w:val="24"/>
          <w:highlight w:val="none"/>
        </w:rPr>
        <w:t>本项目的</w:t>
      </w:r>
      <w:r>
        <w:rPr>
          <w:rFonts w:hint="eastAsia" w:asciiTheme="minorEastAsia" w:hAnsiTheme="minorEastAsia" w:eastAsiaTheme="minorEastAsia" w:cstheme="minorEastAsia"/>
          <w:color w:val="auto"/>
          <w:sz w:val="24"/>
          <w:highlight w:val="none"/>
          <w:lang w:eastAsia="zh-CN"/>
        </w:rPr>
        <w:t>招标人</w:t>
      </w:r>
      <w:r>
        <w:rPr>
          <w:rFonts w:hint="eastAsia" w:asciiTheme="minorEastAsia" w:hAnsiTheme="minorEastAsia" w:eastAsiaTheme="minorEastAsia" w:cstheme="minorEastAsia"/>
          <w:color w:val="auto"/>
          <w:sz w:val="24"/>
          <w:highlight w:val="none"/>
        </w:rPr>
        <w:t>是</w:t>
      </w:r>
      <w:r>
        <w:rPr>
          <w:rFonts w:hint="eastAsia" w:asciiTheme="minorEastAsia" w:hAnsiTheme="minorEastAsia" w:eastAsiaTheme="minorEastAsia" w:cstheme="minorEastAsia"/>
          <w:b/>
          <w:color w:val="auto"/>
          <w:sz w:val="24"/>
          <w:highlight w:val="none"/>
          <w:u w:val="single"/>
          <w:lang w:eastAsia="zh-CN"/>
        </w:rPr>
        <w:t>佛山市禅城区南庄镇吉利村邓岗经济合作社</w:t>
      </w:r>
      <w:r>
        <w:rPr>
          <w:rFonts w:hint="eastAsia" w:asciiTheme="minorEastAsia" w:hAnsiTheme="minorEastAsia" w:eastAsiaTheme="minorEastAsia" w:cstheme="minorEastAsia"/>
          <w:color w:val="auto"/>
          <w:sz w:val="24"/>
          <w:highlight w:val="none"/>
        </w:rPr>
        <w:t>。</w:t>
      </w:r>
      <w:r>
        <w:rPr>
          <w:rFonts w:hint="eastAsia" w:asciiTheme="minorEastAsia" w:hAnsiTheme="minorEastAsia" w:eastAsiaTheme="minorEastAsia" w:cstheme="minorEastAsia"/>
          <w:color w:val="auto"/>
          <w:sz w:val="24"/>
          <w:highlight w:val="none"/>
          <w:lang w:val="en-GB"/>
        </w:rPr>
        <w:t>他是</w:t>
      </w:r>
      <w:r>
        <w:rPr>
          <w:rFonts w:hint="eastAsia" w:asciiTheme="minorEastAsia" w:hAnsiTheme="minorEastAsia" w:eastAsiaTheme="minorEastAsia" w:cstheme="minorEastAsia"/>
          <w:color w:val="auto"/>
          <w:sz w:val="24"/>
          <w:highlight w:val="none"/>
          <w:lang w:val="en-GB" w:eastAsia="zh-CN"/>
        </w:rPr>
        <w:t>竞投</w:t>
      </w:r>
      <w:r>
        <w:rPr>
          <w:rFonts w:hint="eastAsia" w:asciiTheme="minorEastAsia" w:hAnsiTheme="minorEastAsia" w:eastAsiaTheme="minorEastAsia" w:cstheme="minorEastAsia"/>
          <w:color w:val="auto"/>
          <w:sz w:val="24"/>
          <w:highlight w:val="none"/>
          <w:lang w:val="en-GB"/>
        </w:rPr>
        <w:t>活动当事人之一，负责项目的整体规划、技术方案可行性设计论证与实施，作为合同用户的主体承担质疑回复、履行合同义务、验收与评价等义务。</w:t>
      </w:r>
    </w:p>
    <w:p w14:paraId="4BDC3169">
      <w:pPr>
        <w:numPr>
          <w:ilvl w:val="0"/>
          <w:numId w:val="0"/>
        </w:numPr>
        <w:tabs>
          <w:tab w:val="left" w:pos="540"/>
        </w:tabs>
        <w:spacing w:line="360" w:lineRule="auto"/>
        <w:ind w:left="480" w:hanging="480" w:hangingChars="200"/>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lang w:val="en-US" w:eastAsia="zh-CN"/>
        </w:rPr>
        <w:t>2.2</w:t>
      </w:r>
      <w:r>
        <w:rPr>
          <w:rFonts w:hint="eastAsia" w:asciiTheme="minorEastAsia" w:hAnsiTheme="minorEastAsia" w:eastAsiaTheme="minorEastAsia" w:cstheme="minorEastAsia"/>
          <w:color w:val="auto"/>
          <w:sz w:val="24"/>
          <w:highlight w:val="none"/>
        </w:rPr>
        <w:t>“</w:t>
      </w:r>
      <w:r>
        <w:rPr>
          <w:rFonts w:hint="eastAsia" w:asciiTheme="minorEastAsia" w:hAnsiTheme="minorEastAsia" w:eastAsiaTheme="minorEastAsia" w:cstheme="minorEastAsia"/>
          <w:color w:val="auto"/>
          <w:sz w:val="24"/>
          <w:highlight w:val="none"/>
          <w:lang w:eastAsia="zh-CN"/>
        </w:rPr>
        <w:t>招标代理机构</w:t>
      </w:r>
      <w:r>
        <w:rPr>
          <w:rFonts w:hint="eastAsia" w:asciiTheme="minorEastAsia" w:hAnsiTheme="minorEastAsia" w:eastAsiaTheme="minorEastAsia" w:cstheme="minorEastAsia"/>
          <w:color w:val="auto"/>
          <w:sz w:val="24"/>
          <w:highlight w:val="none"/>
        </w:rPr>
        <w:t>”系指</w:t>
      </w:r>
      <w:r>
        <w:rPr>
          <w:rFonts w:hint="eastAsia" w:asciiTheme="minorEastAsia" w:hAnsiTheme="minorEastAsia" w:eastAsiaTheme="minorEastAsia" w:cstheme="minorEastAsia"/>
          <w:b/>
          <w:bCs/>
          <w:color w:val="auto"/>
          <w:sz w:val="24"/>
          <w:highlight w:val="none"/>
          <w:u w:val="single"/>
          <w:lang w:eastAsia="zh-CN"/>
        </w:rPr>
        <w:t>广东中采招标有限公司</w:t>
      </w:r>
      <w:r>
        <w:rPr>
          <w:rFonts w:hint="eastAsia" w:asciiTheme="minorEastAsia" w:hAnsiTheme="minorEastAsia" w:eastAsiaTheme="minorEastAsia" w:cstheme="minorEastAsia"/>
          <w:color w:val="auto"/>
          <w:sz w:val="24"/>
          <w:highlight w:val="none"/>
        </w:rPr>
        <w:t>，</w:t>
      </w:r>
      <w:r>
        <w:rPr>
          <w:rFonts w:hint="eastAsia" w:asciiTheme="minorEastAsia" w:hAnsiTheme="minorEastAsia" w:eastAsiaTheme="minorEastAsia" w:cstheme="minorEastAsia"/>
          <w:color w:val="auto"/>
          <w:sz w:val="24"/>
          <w:highlight w:val="none"/>
          <w:lang w:val="en-GB"/>
        </w:rPr>
        <w:t>是整个</w:t>
      </w:r>
      <w:r>
        <w:rPr>
          <w:rFonts w:hint="eastAsia" w:asciiTheme="minorEastAsia" w:hAnsiTheme="minorEastAsia" w:eastAsiaTheme="minorEastAsia" w:cstheme="minorEastAsia"/>
          <w:color w:val="auto"/>
          <w:sz w:val="24"/>
          <w:highlight w:val="none"/>
          <w:lang w:val="en-GB" w:eastAsia="zh-CN"/>
        </w:rPr>
        <w:t>竞投</w:t>
      </w:r>
      <w:r>
        <w:rPr>
          <w:rFonts w:hint="eastAsia" w:asciiTheme="minorEastAsia" w:hAnsiTheme="minorEastAsia" w:eastAsiaTheme="minorEastAsia" w:cstheme="minorEastAsia"/>
          <w:color w:val="auto"/>
          <w:sz w:val="24"/>
          <w:highlight w:val="none"/>
          <w:lang w:val="en-GB"/>
        </w:rPr>
        <w:t>活动的组织者，依法负责编制和发布</w:t>
      </w:r>
      <w:r>
        <w:rPr>
          <w:rFonts w:hint="eastAsia" w:asciiTheme="minorEastAsia" w:hAnsiTheme="minorEastAsia" w:eastAsiaTheme="minorEastAsia" w:cstheme="minorEastAsia"/>
          <w:color w:val="auto"/>
          <w:sz w:val="24"/>
          <w:highlight w:val="none"/>
          <w:lang w:val="en-GB" w:eastAsia="zh-CN"/>
        </w:rPr>
        <w:t>竞投文件</w:t>
      </w:r>
      <w:r>
        <w:rPr>
          <w:rFonts w:hint="eastAsia" w:asciiTheme="minorEastAsia" w:hAnsiTheme="minorEastAsia" w:eastAsiaTheme="minorEastAsia" w:cstheme="minorEastAsia"/>
          <w:color w:val="auto"/>
          <w:sz w:val="24"/>
          <w:highlight w:val="none"/>
          <w:lang w:val="en-GB"/>
        </w:rPr>
        <w:t>，对</w:t>
      </w:r>
      <w:r>
        <w:rPr>
          <w:rFonts w:hint="eastAsia" w:asciiTheme="minorEastAsia" w:hAnsiTheme="minorEastAsia" w:eastAsiaTheme="minorEastAsia" w:cstheme="minorEastAsia"/>
          <w:color w:val="auto"/>
          <w:sz w:val="24"/>
          <w:highlight w:val="none"/>
          <w:lang w:val="en-GB" w:eastAsia="zh-CN"/>
        </w:rPr>
        <w:t>竞投文件</w:t>
      </w:r>
      <w:r>
        <w:rPr>
          <w:rFonts w:hint="eastAsia" w:asciiTheme="minorEastAsia" w:hAnsiTheme="minorEastAsia" w:eastAsiaTheme="minorEastAsia" w:cstheme="minorEastAsia"/>
          <w:color w:val="auto"/>
          <w:sz w:val="24"/>
          <w:highlight w:val="none"/>
          <w:lang w:val="en-GB"/>
        </w:rPr>
        <w:t>拥有最终的解释权。</w:t>
      </w:r>
    </w:p>
    <w:p w14:paraId="58F6EB9A">
      <w:pPr>
        <w:numPr>
          <w:ilvl w:val="0"/>
          <w:numId w:val="0"/>
        </w:numPr>
        <w:tabs>
          <w:tab w:val="left" w:pos="540"/>
        </w:tabs>
        <w:spacing w:line="360" w:lineRule="auto"/>
        <w:ind w:left="480" w:hanging="480" w:hangingChars="200"/>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lang w:val="en-US" w:eastAsia="zh-CN"/>
        </w:rPr>
        <w:t>2.3</w:t>
      </w:r>
      <w:r>
        <w:rPr>
          <w:rFonts w:hint="eastAsia" w:asciiTheme="minorEastAsia" w:hAnsiTheme="minorEastAsia" w:eastAsiaTheme="minorEastAsia" w:cstheme="minorEastAsia"/>
          <w:color w:val="auto"/>
          <w:sz w:val="24"/>
          <w:highlight w:val="none"/>
        </w:rPr>
        <w:t>“</w:t>
      </w:r>
      <w:r>
        <w:rPr>
          <w:rFonts w:hint="eastAsia" w:asciiTheme="minorEastAsia" w:hAnsiTheme="minorEastAsia" w:eastAsiaTheme="minorEastAsia" w:cstheme="minorEastAsia"/>
          <w:color w:val="auto"/>
          <w:sz w:val="24"/>
          <w:highlight w:val="none"/>
          <w:lang w:eastAsia="zh-CN"/>
        </w:rPr>
        <w:t>投标</w:t>
      </w:r>
      <w:r>
        <w:rPr>
          <w:rFonts w:hint="eastAsia" w:asciiTheme="minorEastAsia" w:hAnsiTheme="minorEastAsia" w:eastAsiaTheme="minorEastAsia" w:cstheme="minorEastAsia"/>
          <w:color w:val="auto"/>
          <w:sz w:val="24"/>
          <w:highlight w:val="none"/>
        </w:rPr>
        <w:t>人”系指响应招标、参加</w:t>
      </w:r>
      <w:r>
        <w:rPr>
          <w:rFonts w:hint="eastAsia" w:asciiTheme="minorEastAsia" w:hAnsiTheme="minorEastAsia" w:eastAsiaTheme="minorEastAsia" w:cstheme="minorEastAsia"/>
          <w:color w:val="auto"/>
          <w:sz w:val="24"/>
          <w:highlight w:val="none"/>
          <w:lang w:eastAsia="zh-CN"/>
        </w:rPr>
        <w:t>竞投</w:t>
      </w:r>
      <w:r>
        <w:rPr>
          <w:rFonts w:hint="eastAsia" w:asciiTheme="minorEastAsia" w:hAnsiTheme="minorEastAsia" w:eastAsiaTheme="minorEastAsia" w:cstheme="minorEastAsia"/>
          <w:color w:val="auto"/>
          <w:sz w:val="24"/>
          <w:highlight w:val="none"/>
        </w:rPr>
        <w:t>竞争的法人、其他组织或个人，“</w:t>
      </w:r>
      <w:r>
        <w:rPr>
          <w:rFonts w:hint="eastAsia" w:asciiTheme="minorEastAsia" w:hAnsiTheme="minorEastAsia" w:eastAsiaTheme="minorEastAsia" w:cstheme="minorEastAsia"/>
          <w:color w:val="auto"/>
          <w:sz w:val="24"/>
          <w:highlight w:val="none"/>
          <w:lang w:eastAsia="zh-CN"/>
        </w:rPr>
        <w:t>投标人</w:t>
      </w:r>
      <w:r>
        <w:rPr>
          <w:rFonts w:hint="eastAsia" w:asciiTheme="minorEastAsia" w:hAnsiTheme="minorEastAsia" w:eastAsiaTheme="minorEastAsia" w:cstheme="minorEastAsia"/>
          <w:color w:val="auto"/>
          <w:sz w:val="24"/>
          <w:highlight w:val="none"/>
        </w:rPr>
        <w:t>”与“</w:t>
      </w:r>
      <w:r>
        <w:rPr>
          <w:rFonts w:hint="eastAsia" w:asciiTheme="minorEastAsia" w:hAnsiTheme="minorEastAsia" w:eastAsiaTheme="minorEastAsia" w:cstheme="minorEastAsia"/>
          <w:color w:val="auto"/>
          <w:sz w:val="24"/>
          <w:highlight w:val="none"/>
          <w:lang w:eastAsia="zh-CN"/>
        </w:rPr>
        <w:t>投标人</w:t>
      </w:r>
      <w:r>
        <w:rPr>
          <w:rFonts w:hint="eastAsia" w:asciiTheme="minorEastAsia" w:hAnsiTheme="minorEastAsia" w:eastAsiaTheme="minorEastAsia" w:cstheme="minorEastAsia"/>
          <w:color w:val="auto"/>
          <w:sz w:val="24"/>
          <w:highlight w:val="none"/>
        </w:rPr>
        <w:t>”应按相同定义进行理解。</w:t>
      </w:r>
    </w:p>
    <w:p w14:paraId="407E4E10">
      <w:pPr>
        <w:numPr>
          <w:ilvl w:val="0"/>
          <w:numId w:val="0"/>
        </w:numPr>
        <w:tabs>
          <w:tab w:val="left" w:pos="540"/>
        </w:tabs>
        <w:spacing w:line="360" w:lineRule="auto"/>
        <w:ind w:left="480" w:hanging="480" w:hangingChars="200"/>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lang w:val="en-US" w:eastAsia="zh-CN"/>
        </w:rPr>
        <w:t>2.4</w:t>
      </w:r>
      <w:r>
        <w:rPr>
          <w:rFonts w:hint="eastAsia" w:asciiTheme="minorEastAsia" w:hAnsiTheme="minorEastAsia" w:eastAsiaTheme="minorEastAsia" w:cstheme="minorEastAsia"/>
          <w:color w:val="auto"/>
          <w:sz w:val="24"/>
          <w:highlight w:val="none"/>
        </w:rPr>
        <w:t>“中标人”系指由评标委员会按本《</w:t>
      </w:r>
      <w:r>
        <w:rPr>
          <w:rFonts w:hint="eastAsia" w:asciiTheme="minorEastAsia" w:hAnsiTheme="minorEastAsia" w:eastAsiaTheme="minorEastAsia" w:cstheme="minorEastAsia"/>
          <w:color w:val="auto"/>
          <w:sz w:val="24"/>
          <w:highlight w:val="none"/>
          <w:lang w:eastAsia="zh-CN"/>
        </w:rPr>
        <w:t>竞投文件</w:t>
      </w:r>
      <w:r>
        <w:rPr>
          <w:rFonts w:hint="eastAsia" w:asciiTheme="minorEastAsia" w:hAnsiTheme="minorEastAsia" w:eastAsiaTheme="minorEastAsia" w:cstheme="minorEastAsia"/>
          <w:color w:val="auto"/>
          <w:sz w:val="24"/>
          <w:highlight w:val="none"/>
        </w:rPr>
        <w:t>》所列述的相关标准，评审推荐，经法定程序确定获得本项目中标资格的</w:t>
      </w:r>
      <w:r>
        <w:rPr>
          <w:rFonts w:hint="eastAsia" w:asciiTheme="minorEastAsia" w:hAnsiTheme="minorEastAsia" w:eastAsiaTheme="minorEastAsia" w:cstheme="minorEastAsia"/>
          <w:color w:val="auto"/>
          <w:sz w:val="24"/>
          <w:highlight w:val="none"/>
          <w:lang w:eastAsia="zh-CN"/>
        </w:rPr>
        <w:t>投标人</w:t>
      </w:r>
      <w:r>
        <w:rPr>
          <w:rFonts w:hint="eastAsia" w:asciiTheme="minorEastAsia" w:hAnsiTheme="minorEastAsia" w:eastAsiaTheme="minorEastAsia" w:cstheme="minorEastAsia"/>
          <w:color w:val="auto"/>
          <w:sz w:val="24"/>
          <w:highlight w:val="none"/>
        </w:rPr>
        <w:t>，“中标人”与“</w:t>
      </w:r>
      <w:r>
        <w:rPr>
          <w:rFonts w:hint="eastAsia" w:asciiTheme="minorEastAsia" w:hAnsiTheme="minorEastAsia" w:eastAsiaTheme="minorEastAsia" w:cstheme="minorEastAsia"/>
          <w:color w:val="auto"/>
          <w:sz w:val="24"/>
          <w:highlight w:val="none"/>
          <w:lang w:eastAsia="zh-CN"/>
        </w:rPr>
        <w:t>成交人</w:t>
      </w:r>
      <w:r>
        <w:rPr>
          <w:rFonts w:hint="eastAsia" w:asciiTheme="minorEastAsia" w:hAnsiTheme="minorEastAsia" w:eastAsiaTheme="minorEastAsia" w:cstheme="minorEastAsia"/>
          <w:color w:val="auto"/>
          <w:sz w:val="24"/>
          <w:highlight w:val="none"/>
        </w:rPr>
        <w:t>”应按相同定义进行理解。</w:t>
      </w:r>
    </w:p>
    <w:p w14:paraId="725A68CA">
      <w:pPr>
        <w:numPr>
          <w:ilvl w:val="0"/>
          <w:numId w:val="0"/>
        </w:numPr>
        <w:tabs>
          <w:tab w:val="left" w:pos="540"/>
        </w:tabs>
        <w:spacing w:line="360" w:lineRule="auto"/>
        <w:ind w:left="480" w:hanging="480" w:hangingChars="200"/>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lang w:val="en-US" w:eastAsia="zh-CN"/>
        </w:rPr>
        <w:t>2.5</w:t>
      </w:r>
      <w:r>
        <w:rPr>
          <w:rFonts w:hint="eastAsia" w:asciiTheme="minorEastAsia" w:hAnsiTheme="minorEastAsia" w:eastAsiaTheme="minorEastAsia" w:cstheme="minorEastAsia"/>
          <w:color w:val="auto"/>
          <w:sz w:val="24"/>
          <w:highlight w:val="none"/>
        </w:rPr>
        <w:t>“</w:t>
      </w:r>
      <w:r>
        <w:rPr>
          <w:rFonts w:hint="eastAsia" w:asciiTheme="minorEastAsia" w:hAnsiTheme="minorEastAsia" w:eastAsiaTheme="minorEastAsia" w:cstheme="minorEastAsia"/>
          <w:color w:val="auto"/>
          <w:sz w:val="24"/>
          <w:highlight w:val="none"/>
          <w:lang w:eastAsia="zh-CN"/>
        </w:rPr>
        <w:t>竞投文件</w:t>
      </w:r>
      <w:r>
        <w:rPr>
          <w:rFonts w:hint="eastAsia" w:asciiTheme="minorEastAsia" w:hAnsiTheme="minorEastAsia" w:eastAsiaTheme="minorEastAsia" w:cstheme="minorEastAsia"/>
          <w:color w:val="auto"/>
          <w:sz w:val="24"/>
          <w:highlight w:val="none"/>
        </w:rPr>
        <w:t>”系指由</w:t>
      </w:r>
      <w:r>
        <w:rPr>
          <w:rFonts w:hint="eastAsia" w:asciiTheme="minorEastAsia" w:hAnsiTheme="minorEastAsia" w:eastAsiaTheme="minorEastAsia" w:cstheme="minorEastAsia"/>
          <w:color w:val="auto"/>
          <w:sz w:val="24"/>
          <w:highlight w:val="none"/>
          <w:lang w:eastAsia="zh-CN"/>
        </w:rPr>
        <w:t>招标代理机构</w:t>
      </w:r>
      <w:r>
        <w:rPr>
          <w:rFonts w:hint="eastAsia" w:asciiTheme="minorEastAsia" w:hAnsiTheme="minorEastAsia" w:eastAsiaTheme="minorEastAsia" w:cstheme="minorEastAsia"/>
          <w:color w:val="auto"/>
          <w:sz w:val="24"/>
          <w:highlight w:val="none"/>
        </w:rPr>
        <w:t>依法发布的本</w:t>
      </w:r>
      <w:r>
        <w:rPr>
          <w:rFonts w:hint="eastAsia" w:asciiTheme="minorEastAsia" w:hAnsiTheme="minorEastAsia" w:eastAsiaTheme="minorEastAsia" w:cstheme="minorEastAsia"/>
          <w:color w:val="auto"/>
          <w:sz w:val="24"/>
          <w:highlight w:val="none"/>
          <w:lang w:eastAsia="zh-CN"/>
        </w:rPr>
        <w:t>竞投文件</w:t>
      </w:r>
      <w:r>
        <w:rPr>
          <w:rFonts w:hint="eastAsia" w:asciiTheme="minorEastAsia" w:hAnsiTheme="minorEastAsia" w:eastAsiaTheme="minorEastAsia" w:cstheme="minorEastAsia"/>
          <w:color w:val="auto"/>
          <w:sz w:val="24"/>
          <w:highlight w:val="none"/>
        </w:rPr>
        <w:t>，包括全部章节和附件。</w:t>
      </w:r>
    </w:p>
    <w:p w14:paraId="14EFCB64">
      <w:pPr>
        <w:numPr>
          <w:ilvl w:val="0"/>
          <w:numId w:val="0"/>
        </w:numPr>
        <w:tabs>
          <w:tab w:val="left" w:pos="540"/>
        </w:tabs>
        <w:spacing w:line="360" w:lineRule="auto"/>
        <w:ind w:left="480" w:hanging="480" w:hangingChars="200"/>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lang w:val="en-US" w:eastAsia="zh-CN"/>
        </w:rPr>
        <w:t>2.6</w:t>
      </w:r>
      <w:r>
        <w:rPr>
          <w:rFonts w:hint="eastAsia" w:asciiTheme="minorEastAsia" w:hAnsiTheme="minorEastAsia" w:eastAsiaTheme="minorEastAsia" w:cstheme="minorEastAsia"/>
          <w:color w:val="auto"/>
          <w:sz w:val="24"/>
          <w:highlight w:val="none"/>
        </w:rPr>
        <w:t>“</w:t>
      </w:r>
      <w:r>
        <w:rPr>
          <w:rFonts w:hint="eastAsia" w:asciiTheme="minorEastAsia" w:hAnsiTheme="minorEastAsia" w:eastAsiaTheme="minorEastAsia" w:cstheme="minorEastAsia"/>
          <w:color w:val="auto"/>
          <w:sz w:val="24"/>
          <w:highlight w:val="none"/>
          <w:lang w:eastAsia="zh-CN"/>
        </w:rPr>
        <w:t>资格审查</w:t>
      </w:r>
      <w:r>
        <w:rPr>
          <w:rFonts w:hint="eastAsia" w:asciiTheme="minorEastAsia" w:hAnsiTheme="minorEastAsia" w:eastAsiaTheme="minorEastAsia" w:cstheme="minorEastAsia"/>
          <w:color w:val="auto"/>
          <w:sz w:val="24"/>
          <w:highlight w:val="none"/>
        </w:rPr>
        <w:t>文件”系指</w:t>
      </w:r>
      <w:r>
        <w:rPr>
          <w:rFonts w:hint="eastAsia" w:asciiTheme="minorEastAsia" w:hAnsiTheme="minorEastAsia" w:eastAsiaTheme="minorEastAsia" w:cstheme="minorEastAsia"/>
          <w:color w:val="auto"/>
          <w:sz w:val="24"/>
          <w:highlight w:val="none"/>
          <w:lang w:eastAsia="zh-CN"/>
        </w:rPr>
        <w:t>投标</w:t>
      </w:r>
      <w:r>
        <w:rPr>
          <w:rFonts w:hint="eastAsia" w:asciiTheme="minorEastAsia" w:hAnsiTheme="minorEastAsia" w:eastAsiaTheme="minorEastAsia" w:cstheme="minorEastAsia"/>
          <w:color w:val="auto"/>
          <w:sz w:val="24"/>
          <w:highlight w:val="none"/>
        </w:rPr>
        <w:t>人根据本</w:t>
      </w:r>
      <w:r>
        <w:rPr>
          <w:rFonts w:hint="eastAsia" w:asciiTheme="minorEastAsia" w:hAnsiTheme="minorEastAsia" w:eastAsiaTheme="minorEastAsia" w:cstheme="minorEastAsia"/>
          <w:color w:val="auto"/>
          <w:sz w:val="24"/>
          <w:highlight w:val="none"/>
          <w:lang w:eastAsia="zh-CN"/>
        </w:rPr>
        <w:t>竞投文件</w:t>
      </w:r>
      <w:r>
        <w:rPr>
          <w:rFonts w:hint="eastAsia" w:asciiTheme="minorEastAsia" w:hAnsiTheme="minorEastAsia" w:eastAsiaTheme="minorEastAsia" w:cstheme="minorEastAsia"/>
          <w:color w:val="auto"/>
          <w:sz w:val="24"/>
          <w:highlight w:val="none"/>
        </w:rPr>
        <w:t>向</w:t>
      </w:r>
      <w:r>
        <w:rPr>
          <w:rFonts w:hint="eastAsia" w:asciiTheme="minorEastAsia" w:hAnsiTheme="minorEastAsia" w:eastAsiaTheme="minorEastAsia" w:cstheme="minorEastAsia"/>
          <w:color w:val="auto"/>
          <w:sz w:val="24"/>
          <w:highlight w:val="none"/>
          <w:lang w:eastAsia="zh-CN"/>
        </w:rPr>
        <w:t>招标代理机构</w:t>
      </w:r>
      <w:r>
        <w:rPr>
          <w:rFonts w:hint="eastAsia" w:asciiTheme="minorEastAsia" w:hAnsiTheme="minorEastAsia" w:eastAsiaTheme="minorEastAsia" w:cstheme="minorEastAsia"/>
          <w:color w:val="auto"/>
          <w:sz w:val="24"/>
          <w:highlight w:val="none"/>
        </w:rPr>
        <w:t>提交的全部文件。</w:t>
      </w:r>
    </w:p>
    <w:p w14:paraId="5F84B404">
      <w:pPr>
        <w:numPr>
          <w:ilvl w:val="0"/>
          <w:numId w:val="0"/>
        </w:numPr>
        <w:tabs>
          <w:tab w:val="left" w:pos="540"/>
        </w:tabs>
        <w:spacing w:line="360" w:lineRule="auto"/>
        <w:ind w:left="480" w:hanging="480" w:hangingChars="200"/>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lang w:val="en-US" w:eastAsia="zh-CN"/>
        </w:rPr>
        <w:t>2.7</w:t>
      </w:r>
      <w:r>
        <w:rPr>
          <w:rFonts w:hint="eastAsia" w:asciiTheme="minorEastAsia" w:hAnsiTheme="minorEastAsia" w:eastAsiaTheme="minorEastAsia" w:cstheme="minorEastAsia"/>
          <w:color w:val="auto"/>
          <w:sz w:val="24"/>
          <w:highlight w:val="none"/>
        </w:rPr>
        <w:t>“合同”系指由本次</w:t>
      </w:r>
      <w:r>
        <w:rPr>
          <w:rFonts w:hint="eastAsia" w:asciiTheme="minorEastAsia" w:hAnsiTheme="minorEastAsia" w:eastAsiaTheme="minorEastAsia" w:cstheme="minorEastAsia"/>
          <w:color w:val="auto"/>
          <w:sz w:val="24"/>
          <w:highlight w:val="none"/>
          <w:lang w:eastAsia="zh-CN"/>
        </w:rPr>
        <w:t>竞投</w:t>
      </w:r>
      <w:r>
        <w:rPr>
          <w:rFonts w:hint="eastAsia" w:asciiTheme="minorEastAsia" w:hAnsiTheme="minorEastAsia" w:eastAsiaTheme="minorEastAsia" w:cstheme="minorEastAsia"/>
          <w:color w:val="auto"/>
          <w:sz w:val="24"/>
          <w:highlight w:val="none"/>
        </w:rPr>
        <w:t>所产生的合同或合约文件。</w:t>
      </w:r>
    </w:p>
    <w:p w14:paraId="6DF22D78">
      <w:pPr>
        <w:numPr>
          <w:ilvl w:val="0"/>
          <w:numId w:val="0"/>
        </w:numPr>
        <w:tabs>
          <w:tab w:val="left" w:pos="540"/>
        </w:tabs>
        <w:spacing w:line="360" w:lineRule="auto"/>
        <w:ind w:left="480" w:hanging="480" w:hangingChars="200"/>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lang w:val="en-US" w:eastAsia="zh-CN"/>
        </w:rPr>
        <w:t>2.8</w:t>
      </w:r>
      <w:r>
        <w:rPr>
          <w:rFonts w:hint="eastAsia" w:asciiTheme="minorEastAsia" w:hAnsiTheme="minorEastAsia" w:eastAsiaTheme="minorEastAsia" w:cstheme="minorEastAsia"/>
          <w:color w:val="auto"/>
          <w:sz w:val="24"/>
          <w:highlight w:val="none"/>
        </w:rPr>
        <w:t>“</w:t>
      </w:r>
      <w:r>
        <w:rPr>
          <w:rFonts w:hint="eastAsia" w:asciiTheme="minorEastAsia" w:hAnsiTheme="minorEastAsia" w:eastAsiaTheme="minorEastAsia" w:cstheme="minorEastAsia"/>
          <w:color w:val="auto"/>
          <w:sz w:val="24"/>
          <w:highlight w:val="none"/>
          <w:lang w:val="en-GB"/>
        </w:rPr>
        <w:t>日期</w:t>
      </w:r>
      <w:r>
        <w:rPr>
          <w:rFonts w:hint="eastAsia" w:asciiTheme="minorEastAsia" w:hAnsiTheme="minorEastAsia" w:eastAsiaTheme="minorEastAsia" w:cstheme="minorEastAsia"/>
          <w:color w:val="auto"/>
          <w:sz w:val="24"/>
          <w:highlight w:val="none"/>
        </w:rPr>
        <w:t>”</w:t>
      </w:r>
      <w:r>
        <w:rPr>
          <w:rFonts w:hint="eastAsia" w:asciiTheme="minorEastAsia" w:hAnsiTheme="minorEastAsia" w:eastAsiaTheme="minorEastAsia" w:cstheme="minorEastAsia"/>
          <w:color w:val="auto"/>
          <w:sz w:val="24"/>
          <w:highlight w:val="none"/>
          <w:lang w:val="en-GB"/>
        </w:rPr>
        <w:t>、</w:t>
      </w:r>
      <w:r>
        <w:rPr>
          <w:rFonts w:hint="eastAsia" w:asciiTheme="minorEastAsia" w:hAnsiTheme="minorEastAsia" w:eastAsiaTheme="minorEastAsia" w:cstheme="minorEastAsia"/>
          <w:color w:val="auto"/>
          <w:sz w:val="24"/>
          <w:highlight w:val="none"/>
        </w:rPr>
        <w:t>“</w:t>
      </w:r>
      <w:r>
        <w:rPr>
          <w:rFonts w:hint="eastAsia" w:asciiTheme="minorEastAsia" w:hAnsiTheme="minorEastAsia" w:eastAsiaTheme="minorEastAsia" w:cstheme="minorEastAsia"/>
          <w:color w:val="auto"/>
          <w:sz w:val="24"/>
          <w:highlight w:val="none"/>
          <w:lang w:val="en-GB"/>
        </w:rPr>
        <w:t>天数</w:t>
      </w:r>
      <w:r>
        <w:rPr>
          <w:rFonts w:hint="eastAsia" w:asciiTheme="minorEastAsia" w:hAnsiTheme="minorEastAsia" w:eastAsiaTheme="minorEastAsia" w:cstheme="minorEastAsia"/>
          <w:color w:val="auto"/>
          <w:sz w:val="24"/>
          <w:highlight w:val="none"/>
        </w:rPr>
        <w:t>”</w:t>
      </w:r>
      <w:r>
        <w:rPr>
          <w:rFonts w:hint="eastAsia" w:asciiTheme="minorEastAsia" w:hAnsiTheme="minorEastAsia" w:eastAsiaTheme="minorEastAsia" w:cstheme="minorEastAsia"/>
          <w:color w:val="auto"/>
          <w:sz w:val="24"/>
          <w:highlight w:val="none"/>
          <w:lang w:val="en-GB"/>
        </w:rPr>
        <w:t>、</w:t>
      </w:r>
      <w:r>
        <w:rPr>
          <w:rFonts w:hint="eastAsia" w:asciiTheme="minorEastAsia" w:hAnsiTheme="minorEastAsia" w:eastAsiaTheme="minorEastAsia" w:cstheme="minorEastAsia"/>
          <w:color w:val="auto"/>
          <w:sz w:val="24"/>
          <w:highlight w:val="none"/>
        </w:rPr>
        <w:t>“时间”</w:t>
      </w:r>
      <w:r>
        <w:rPr>
          <w:rFonts w:hint="eastAsia" w:asciiTheme="minorEastAsia" w:hAnsiTheme="minorEastAsia" w:eastAsiaTheme="minorEastAsia" w:cstheme="minorEastAsia"/>
          <w:color w:val="auto"/>
          <w:sz w:val="24"/>
          <w:highlight w:val="none"/>
          <w:lang w:val="en-GB"/>
        </w:rPr>
        <w:t>在无特别说明时</w:t>
      </w:r>
      <w:r>
        <w:rPr>
          <w:rFonts w:hint="eastAsia" w:asciiTheme="minorEastAsia" w:hAnsiTheme="minorEastAsia" w:eastAsiaTheme="minorEastAsia" w:cstheme="minorEastAsia"/>
          <w:color w:val="auto"/>
          <w:sz w:val="24"/>
          <w:highlight w:val="none"/>
        </w:rPr>
        <w:t>系</w:t>
      </w:r>
      <w:r>
        <w:rPr>
          <w:rFonts w:hint="eastAsia" w:asciiTheme="minorEastAsia" w:hAnsiTheme="minorEastAsia" w:eastAsiaTheme="minorEastAsia" w:cstheme="minorEastAsia"/>
          <w:color w:val="auto"/>
          <w:sz w:val="24"/>
          <w:highlight w:val="none"/>
          <w:lang w:val="en-GB"/>
        </w:rPr>
        <w:t>指公历日及北京时间。</w:t>
      </w:r>
    </w:p>
    <w:p w14:paraId="291B1875">
      <w:pPr>
        <w:numPr>
          <w:ilvl w:val="0"/>
          <w:numId w:val="20"/>
        </w:numPr>
        <w:tabs>
          <w:tab w:val="left" w:pos="540"/>
        </w:tabs>
        <w:spacing w:before="120" w:beforeLines="50" w:line="360" w:lineRule="auto"/>
        <w:ind w:left="420" w:leftChars="0" w:hanging="420" w:firstLineChars="0"/>
        <w:rPr>
          <w:rFonts w:ascii="宋体"/>
          <w:b/>
          <w:color w:val="auto"/>
          <w:sz w:val="24"/>
          <w:highlight w:val="none"/>
        </w:rPr>
      </w:pPr>
      <w:r>
        <w:rPr>
          <w:rFonts w:hint="eastAsia" w:ascii="宋体" w:hAnsi="宋体"/>
          <w:b/>
          <w:color w:val="auto"/>
          <w:sz w:val="24"/>
          <w:highlight w:val="none"/>
        </w:rPr>
        <w:t>合格的</w:t>
      </w:r>
      <w:r>
        <w:rPr>
          <w:rFonts w:hint="eastAsia" w:ascii="宋体" w:hAnsi="宋体"/>
          <w:b/>
          <w:color w:val="auto"/>
          <w:sz w:val="24"/>
          <w:highlight w:val="none"/>
          <w:lang w:eastAsia="zh-CN"/>
        </w:rPr>
        <w:t>投标</w:t>
      </w:r>
      <w:r>
        <w:rPr>
          <w:rFonts w:hint="eastAsia" w:ascii="宋体" w:hAnsi="宋体"/>
          <w:b/>
          <w:color w:val="auto"/>
          <w:sz w:val="24"/>
          <w:highlight w:val="none"/>
        </w:rPr>
        <w:t>人：</w:t>
      </w:r>
    </w:p>
    <w:p w14:paraId="3C1BEB80">
      <w:pPr>
        <w:numPr>
          <w:ilvl w:val="0"/>
          <w:numId w:val="0"/>
        </w:numPr>
        <w:tabs>
          <w:tab w:val="left" w:pos="540"/>
        </w:tabs>
        <w:spacing w:line="360" w:lineRule="auto"/>
        <w:ind w:left="480" w:hanging="480" w:hangingChars="200"/>
        <w:rPr>
          <w:rFonts w:hint="default" w:ascii="宋体" w:hAnsi="宋体" w:eastAsia="宋体"/>
          <w:color w:val="auto"/>
          <w:sz w:val="24"/>
          <w:szCs w:val="24"/>
          <w:highlight w:val="none"/>
          <w:lang w:val="en-US" w:eastAsia="zh-CN"/>
        </w:rPr>
      </w:pPr>
      <w:r>
        <w:rPr>
          <w:rFonts w:hint="eastAsia" w:ascii="宋体" w:hAnsi="宋体"/>
          <w:color w:val="auto"/>
          <w:sz w:val="24"/>
          <w:szCs w:val="24"/>
          <w:highlight w:val="none"/>
          <w:lang w:val="en-US" w:eastAsia="zh-CN"/>
        </w:rPr>
        <w:t>3.1投标人必须符合以下资格条件：</w:t>
      </w:r>
    </w:p>
    <w:p w14:paraId="47FBDFB4">
      <w:pPr>
        <w:pStyle w:val="2"/>
        <w:numPr>
          <w:ilvl w:val="0"/>
          <w:numId w:val="21"/>
        </w:numPr>
        <w:spacing w:line="450" w:lineRule="exact"/>
        <w:ind w:left="425" w:leftChars="0" w:hanging="425" w:firstLineChars="0"/>
        <w:jc w:val="left"/>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投标人须具有独立法人资格，营业执照处于有效内。</w:t>
      </w:r>
    </w:p>
    <w:p w14:paraId="25C02796">
      <w:pPr>
        <w:pStyle w:val="2"/>
        <w:numPr>
          <w:ilvl w:val="0"/>
          <w:numId w:val="21"/>
        </w:numPr>
        <w:spacing w:line="450" w:lineRule="exact"/>
        <w:ind w:left="425" w:leftChars="0" w:hanging="425" w:firstLineChars="0"/>
        <w:jc w:val="left"/>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本项目不接受联合体竞投。</w:t>
      </w:r>
    </w:p>
    <w:p w14:paraId="2531967B">
      <w:pPr>
        <w:pStyle w:val="2"/>
        <w:numPr>
          <w:ilvl w:val="0"/>
          <w:numId w:val="21"/>
        </w:numPr>
        <w:spacing w:line="450" w:lineRule="exact"/>
        <w:ind w:left="425" w:leftChars="0" w:hanging="425" w:firstLineChars="0"/>
        <w:jc w:val="left"/>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法律、行政法规规定的其他条件：</w:t>
      </w:r>
    </w:p>
    <w:p w14:paraId="1C0777AB">
      <w:pPr>
        <w:pStyle w:val="2"/>
        <w:numPr>
          <w:ilvl w:val="0"/>
          <w:numId w:val="22"/>
        </w:numPr>
        <w:tabs>
          <w:tab w:val="left" w:pos="420"/>
        </w:tabs>
        <w:spacing w:line="450" w:lineRule="exact"/>
        <w:ind w:left="425" w:leftChars="0" w:hanging="425" w:firstLineChars="0"/>
        <w:jc w:val="left"/>
        <w:rPr>
          <w:rFonts w:cs="宋体"/>
          <w:sz w:val="24"/>
          <w:szCs w:val="24"/>
          <w:highlight w:val="none"/>
        </w:rPr>
      </w:pPr>
      <w:r>
        <w:rPr>
          <w:rFonts w:hint="eastAsia" w:cs="宋体"/>
          <w:sz w:val="24"/>
          <w:szCs w:val="24"/>
          <w:highlight w:val="none"/>
        </w:rPr>
        <w:t>单位负责人为同一人或者存在控股、管理关系的不同单位，不得参与同一标段投标或者未划分标段的同一招标项目投标（提供《</w:t>
      </w:r>
      <w:r>
        <w:rPr>
          <w:rFonts w:hint="eastAsia" w:cs="宋体"/>
          <w:sz w:val="24"/>
          <w:szCs w:val="24"/>
          <w:highlight w:val="none"/>
          <w:lang w:eastAsia="zh-CN"/>
        </w:rPr>
        <w:t>竞投承诺函</w:t>
      </w:r>
      <w:r>
        <w:rPr>
          <w:rFonts w:hint="eastAsia" w:cs="宋体"/>
          <w:sz w:val="24"/>
          <w:szCs w:val="24"/>
          <w:highlight w:val="none"/>
        </w:rPr>
        <w:t>》）；</w:t>
      </w:r>
    </w:p>
    <w:p w14:paraId="670C4C54">
      <w:pPr>
        <w:pStyle w:val="2"/>
        <w:numPr>
          <w:ilvl w:val="0"/>
          <w:numId w:val="22"/>
        </w:numPr>
        <w:tabs>
          <w:tab w:val="left" w:pos="420"/>
        </w:tabs>
        <w:spacing w:line="450" w:lineRule="exact"/>
        <w:ind w:left="425" w:leftChars="0" w:hanging="425" w:firstLineChars="0"/>
        <w:jc w:val="left"/>
        <w:rPr>
          <w:rFonts w:cs="宋体"/>
          <w:sz w:val="24"/>
          <w:szCs w:val="24"/>
          <w:highlight w:val="none"/>
        </w:rPr>
      </w:pPr>
      <w:r>
        <w:rPr>
          <w:rFonts w:hint="eastAsia" w:cs="宋体"/>
          <w:sz w:val="24"/>
          <w:szCs w:val="24"/>
          <w:highlight w:val="none"/>
        </w:rPr>
        <w:t>为采购项目提供整体设计、规范编制或者项目管理、监理、检测等服务的供应商，不得再参加该采购项目的其他采购活动（提供《</w:t>
      </w:r>
      <w:r>
        <w:rPr>
          <w:rFonts w:hint="eastAsia" w:cs="宋体"/>
          <w:sz w:val="24"/>
          <w:szCs w:val="24"/>
          <w:highlight w:val="none"/>
          <w:lang w:eastAsia="zh-CN"/>
        </w:rPr>
        <w:t>竞投承诺函</w:t>
      </w:r>
      <w:r>
        <w:rPr>
          <w:rFonts w:hint="eastAsia" w:cs="宋体"/>
          <w:sz w:val="24"/>
          <w:szCs w:val="24"/>
          <w:highlight w:val="none"/>
        </w:rPr>
        <w:t>》）；</w:t>
      </w:r>
    </w:p>
    <w:p w14:paraId="75524E57">
      <w:pPr>
        <w:numPr>
          <w:ilvl w:val="0"/>
          <w:numId w:val="22"/>
        </w:numPr>
        <w:tabs>
          <w:tab w:val="left" w:pos="284"/>
        </w:tabs>
        <w:autoSpaceDE w:val="0"/>
        <w:autoSpaceDN w:val="0"/>
        <w:adjustRightInd w:val="0"/>
        <w:snapToGrid w:val="0"/>
        <w:spacing w:line="360" w:lineRule="auto"/>
        <w:ind w:left="425" w:leftChars="0" w:hanging="425" w:firstLineChars="0"/>
        <w:rPr>
          <w:rFonts w:ascii="宋体"/>
          <w:color w:val="auto"/>
          <w:sz w:val="24"/>
          <w:szCs w:val="24"/>
          <w:highlight w:val="none"/>
        </w:rPr>
      </w:pPr>
      <w:r>
        <w:rPr>
          <w:rFonts w:hint="eastAsia" w:ascii="宋体" w:hAnsi="宋体" w:eastAsia="宋体" w:cs="宋体"/>
          <w:sz w:val="24"/>
          <w:szCs w:val="24"/>
          <w:highlight w:val="none"/>
        </w:rPr>
        <w:t>信用记录：供应商未被列入“信用中国”网站(www.creditchina.gov.cn)“</w:t>
      </w:r>
      <w:r>
        <w:rPr>
          <w:rFonts w:hint="eastAsia" w:ascii="宋体" w:hAnsi="宋体" w:cs="宋体"/>
          <w:sz w:val="24"/>
          <w:szCs w:val="24"/>
          <w:highlight w:val="none"/>
          <w:lang w:eastAsia="zh-CN"/>
        </w:rPr>
        <w:t>记录失信被执行人或重大税收违法失信主体或政府采购严重违法失信行为</w:t>
      </w:r>
      <w:r>
        <w:rPr>
          <w:rFonts w:hint="eastAsia" w:ascii="宋体" w:hAnsi="宋体" w:eastAsia="宋体" w:cs="宋体"/>
          <w:sz w:val="24"/>
          <w:szCs w:val="24"/>
          <w:highlight w:val="none"/>
        </w:rPr>
        <w:t>”记录名单；不处于中国政府采购网(www.ccgp.gov.cn)“政府采购严重违法失信行为信息记录”中的禁止参加政府采购活动期间【以</w:t>
      </w:r>
      <w:r>
        <w:rPr>
          <w:rFonts w:hint="eastAsia" w:ascii="宋体" w:hAnsi="宋体" w:cs="宋体"/>
          <w:sz w:val="24"/>
          <w:szCs w:val="24"/>
          <w:highlight w:val="none"/>
          <w:lang w:eastAsia="zh-CN"/>
        </w:rPr>
        <w:t>招标代理机构</w:t>
      </w:r>
      <w:r>
        <w:rPr>
          <w:rFonts w:hint="eastAsia" w:ascii="宋体" w:hAnsi="宋体" w:eastAsia="宋体" w:cs="宋体"/>
          <w:sz w:val="24"/>
          <w:szCs w:val="24"/>
          <w:highlight w:val="none"/>
        </w:rPr>
        <w:t>于投标截止日当天在“信用中国”网站（www.creditchina.gov.cn）及中国政府采购网(www.ccgp.gov.cn)查询结果为准，如相关失信记录已失效，供应商需提供相关证明资料】</w:t>
      </w:r>
    </w:p>
    <w:p w14:paraId="02CFEC23">
      <w:pPr>
        <w:numPr>
          <w:ilvl w:val="0"/>
          <w:numId w:val="0"/>
        </w:numPr>
        <w:tabs>
          <w:tab w:val="left" w:pos="540"/>
        </w:tabs>
        <w:spacing w:line="360" w:lineRule="auto"/>
        <w:ind w:left="0" w:firstLine="0"/>
        <w:rPr>
          <w:rFonts w:ascii="宋体"/>
          <w:color w:val="auto"/>
          <w:sz w:val="24"/>
          <w:szCs w:val="24"/>
          <w:highlight w:val="none"/>
        </w:rPr>
      </w:pPr>
      <w:r>
        <w:rPr>
          <w:rFonts w:hint="eastAsia" w:ascii="宋体" w:hAnsi="宋体"/>
          <w:color w:val="auto"/>
          <w:sz w:val="24"/>
          <w:szCs w:val="24"/>
          <w:highlight w:val="none"/>
          <w:lang w:val="en-US" w:eastAsia="zh-CN"/>
        </w:rPr>
        <w:t>3.2</w:t>
      </w:r>
      <w:r>
        <w:rPr>
          <w:rFonts w:hint="eastAsia" w:ascii="宋体" w:hAnsi="宋体"/>
          <w:color w:val="auto"/>
          <w:sz w:val="24"/>
          <w:szCs w:val="24"/>
          <w:highlight w:val="none"/>
          <w:lang w:eastAsia="zh-CN"/>
        </w:rPr>
        <w:t>投标</w:t>
      </w:r>
      <w:r>
        <w:rPr>
          <w:rFonts w:hint="eastAsia" w:ascii="宋体" w:hAnsi="宋体"/>
          <w:color w:val="auto"/>
          <w:sz w:val="24"/>
          <w:szCs w:val="24"/>
          <w:highlight w:val="none"/>
        </w:rPr>
        <w:t>人必须购买了</w:t>
      </w:r>
      <w:r>
        <w:rPr>
          <w:rFonts w:hint="eastAsia" w:ascii="宋体" w:hAnsi="宋体"/>
          <w:color w:val="auto"/>
          <w:sz w:val="24"/>
          <w:szCs w:val="24"/>
          <w:highlight w:val="none"/>
          <w:lang w:eastAsia="zh-CN"/>
        </w:rPr>
        <w:t>竞投文件</w:t>
      </w:r>
      <w:r>
        <w:rPr>
          <w:rFonts w:hint="eastAsia" w:ascii="宋体" w:hAnsi="宋体"/>
          <w:color w:val="auto"/>
          <w:sz w:val="24"/>
          <w:szCs w:val="24"/>
          <w:highlight w:val="none"/>
        </w:rPr>
        <w:t>。</w:t>
      </w:r>
    </w:p>
    <w:p w14:paraId="4BBB712C">
      <w:pPr>
        <w:numPr>
          <w:ilvl w:val="0"/>
          <w:numId w:val="0"/>
        </w:numPr>
        <w:tabs>
          <w:tab w:val="left" w:pos="540"/>
        </w:tabs>
        <w:spacing w:line="360" w:lineRule="auto"/>
        <w:ind w:left="480" w:hanging="480" w:hangingChars="200"/>
        <w:rPr>
          <w:rFonts w:ascii="宋体"/>
          <w:color w:val="auto"/>
          <w:sz w:val="24"/>
          <w:szCs w:val="24"/>
          <w:highlight w:val="none"/>
        </w:rPr>
      </w:pPr>
      <w:r>
        <w:rPr>
          <w:rFonts w:hint="eastAsia" w:ascii="宋体" w:hAnsi="宋体"/>
          <w:color w:val="auto"/>
          <w:sz w:val="24"/>
          <w:szCs w:val="24"/>
          <w:highlight w:val="none"/>
          <w:lang w:val="en-US" w:eastAsia="zh-CN"/>
        </w:rPr>
        <w:t>3.3</w:t>
      </w:r>
      <w:r>
        <w:rPr>
          <w:rFonts w:hint="eastAsia" w:ascii="宋体" w:hAnsi="宋体"/>
          <w:color w:val="auto"/>
          <w:sz w:val="24"/>
          <w:szCs w:val="24"/>
          <w:highlight w:val="none"/>
          <w:lang w:eastAsia="zh-CN"/>
        </w:rPr>
        <w:t>投标</w:t>
      </w:r>
      <w:r>
        <w:rPr>
          <w:rFonts w:hint="eastAsia" w:ascii="宋体" w:hAnsi="宋体"/>
          <w:color w:val="auto"/>
          <w:sz w:val="24"/>
          <w:szCs w:val="24"/>
          <w:highlight w:val="none"/>
        </w:rPr>
        <w:t>人获取了本</w:t>
      </w:r>
      <w:r>
        <w:rPr>
          <w:rFonts w:hint="eastAsia" w:ascii="宋体" w:hAnsi="宋体"/>
          <w:color w:val="auto"/>
          <w:sz w:val="24"/>
          <w:szCs w:val="24"/>
          <w:highlight w:val="none"/>
          <w:lang w:eastAsia="zh-CN"/>
        </w:rPr>
        <w:t>竞投文件</w:t>
      </w:r>
      <w:r>
        <w:rPr>
          <w:rFonts w:hint="eastAsia" w:ascii="宋体" w:hAnsi="宋体"/>
          <w:color w:val="auto"/>
          <w:sz w:val="24"/>
          <w:szCs w:val="24"/>
          <w:highlight w:val="none"/>
        </w:rPr>
        <w:t>并非意味着满足了合格、有效</w:t>
      </w:r>
      <w:r>
        <w:rPr>
          <w:rFonts w:hint="eastAsia" w:ascii="宋体" w:hAnsi="宋体"/>
          <w:color w:val="auto"/>
          <w:sz w:val="24"/>
          <w:szCs w:val="24"/>
          <w:highlight w:val="none"/>
          <w:lang w:eastAsia="zh-CN"/>
        </w:rPr>
        <w:t>投标</w:t>
      </w:r>
      <w:r>
        <w:rPr>
          <w:rFonts w:hint="eastAsia" w:ascii="宋体" w:hAnsi="宋体"/>
          <w:color w:val="auto"/>
          <w:sz w:val="24"/>
          <w:szCs w:val="24"/>
          <w:highlight w:val="none"/>
        </w:rPr>
        <w:t>人的基本条件，一切均以</w:t>
      </w:r>
      <w:r>
        <w:rPr>
          <w:rFonts w:hint="eastAsia" w:ascii="宋体" w:hAnsi="宋体"/>
          <w:color w:val="auto"/>
          <w:sz w:val="24"/>
          <w:szCs w:val="24"/>
          <w:highlight w:val="none"/>
          <w:lang w:eastAsia="zh-CN"/>
        </w:rPr>
        <w:t>招标人代表与招标代理机构代表</w:t>
      </w:r>
      <w:r>
        <w:rPr>
          <w:rFonts w:hint="eastAsia" w:ascii="宋体" w:hAnsi="宋体"/>
          <w:color w:val="auto"/>
          <w:sz w:val="24"/>
          <w:szCs w:val="24"/>
          <w:highlight w:val="none"/>
        </w:rPr>
        <w:t>共同评定确认的结果为准。不合格的</w:t>
      </w:r>
      <w:r>
        <w:rPr>
          <w:rFonts w:hint="eastAsia" w:ascii="宋体" w:hAnsi="宋体"/>
          <w:color w:val="auto"/>
          <w:sz w:val="24"/>
          <w:szCs w:val="24"/>
          <w:highlight w:val="none"/>
          <w:lang w:eastAsia="zh-CN"/>
        </w:rPr>
        <w:t>投标</w:t>
      </w:r>
      <w:r>
        <w:rPr>
          <w:rFonts w:hint="eastAsia" w:ascii="宋体" w:hAnsi="宋体"/>
          <w:color w:val="auto"/>
          <w:sz w:val="24"/>
          <w:szCs w:val="24"/>
          <w:highlight w:val="none"/>
        </w:rPr>
        <w:t>人</w:t>
      </w:r>
      <w:r>
        <w:rPr>
          <w:rFonts w:hint="eastAsia" w:ascii="宋体" w:hAnsi="宋体"/>
          <w:color w:val="auto"/>
          <w:sz w:val="24"/>
          <w:szCs w:val="24"/>
          <w:highlight w:val="none"/>
          <w:lang w:eastAsia="zh-CN"/>
        </w:rPr>
        <w:t>招标人拒绝其参加竞投</w:t>
      </w:r>
      <w:r>
        <w:rPr>
          <w:rFonts w:hint="eastAsia" w:ascii="宋体" w:hAnsi="宋体"/>
          <w:color w:val="auto"/>
          <w:sz w:val="24"/>
          <w:szCs w:val="24"/>
          <w:highlight w:val="none"/>
        </w:rPr>
        <w:t>，且</w:t>
      </w:r>
      <w:r>
        <w:rPr>
          <w:rFonts w:hint="eastAsia" w:ascii="宋体" w:hAnsi="宋体"/>
          <w:color w:val="auto"/>
          <w:sz w:val="24"/>
          <w:szCs w:val="24"/>
          <w:highlight w:val="none"/>
          <w:lang w:eastAsia="zh-CN"/>
        </w:rPr>
        <w:t>不退还竞投文件费和</w:t>
      </w:r>
      <w:r>
        <w:rPr>
          <w:rFonts w:hint="eastAsia" w:ascii="宋体" w:hAnsi="宋体"/>
          <w:color w:val="auto"/>
          <w:sz w:val="24"/>
          <w:szCs w:val="24"/>
          <w:highlight w:val="none"/>
        </w:rPr>
        <w:t>不予支付任何费用。</w:t>
      </w:r>
    </w:p>
    <w:p w14:paraId="7E4DCB5B">
      <w:pPr>
        <w:numPr>
          <w:ilvl w:val="0"/>
          <w:numId w:val="20"/>
        </w:numPr>
        <w:tabs>
          <w:tab w:val="left" w:pos="540"/>
        </w:tabs>
        <w:spacing w:before="120" w:beforeLines="50" w:line="360" w:lineRule="auto"/>
        <w:ind w:left="420" w:leftChars="0" w:hanging="420" w:firstLineChars="0"/>
        <w:rPr>
          <w:rFonts w:ascii="宋体"/>
          <w:color w:val="auto"/>
          <w:sz w:val="24"/>
          <w:szCs w:val="24"/>
          <w:highlight w:val="none"/>
        </w:rPr>
      </w:pPr>
      <w:r>
        <w:rPr>
          <w:rFonts w:hint="eastAsia" w:ascii="宋体" w:hAnsi="宋体"/>
          <w:b/>
          <w:color w:val="auto"/>
          <w:sz w:val="24"/>
          <w:szCs w:val="24"/>
          <w:highlight w:val="none"/>
          <w:lang w:val="zh-CN"/>
        </w:rPr>
        <w:t>竞投费用：</w:t>
      </w:r>
      <w:r>
        <w:rPr>
          <w:rFonts w:hint="eastAsia" w:ascii="宋体" w:hAnsi="宋体"/>
          <w:color w:val="auto"/>
          <w:sz w:val="24"/>
          <w:szCs w:val="24"/>
          <w:highlight w:val="none"/>
          <w:lang w:eastAsia="zh-CN"/>
        </w:rPr>
        <w:t>投标</w:t>
      </w:r>
      <w:r>
        <w:rPr>
          <w:rFonts w:hint="eastAsia" w:ascii="宋体" w:hAnsi="宋体"/>
          <w:color w:val="auto"/>
          <w:sz w:val="24"/>
          <w:szCs w:val="24"/>
          <w:highlight w:val="none"/>
        </w:rPr>
        <w:t>人应承担所有与准备和参加</w:t>
      </w:r>
      <w:r>
        <w:rPr>
          <w:rFonts w:hint="eastAsia" w:ascii="宋体" w:hAnsi="宋体"/>
          <w:color w:val="auto"/>
          <w:sz w:val="24"/>
          <w:szCs w:val="24"/>
          <w:highlight w:val="none"/>
          <w:lang w:eastAsia="zh-CN"/>
        </w:rPr>
        <w:t>竞投</w:t>
      </w:r>
      <w:r>
        <w:rPr>
          <w:rFonts w:hint="eastAsia" w:ascii="宋体" w:hAnsi="宋体"/>
          <w:color w:val="auto"/>
          <w:sz w:val="24"/>
          <w:szCs w:val="24"/>
          <w:highlight w:val="none"/>
        </w:rPr>
        <w:t>所涉及的一切费用。不论</w:t>
      </w:r>
      <w:r>
        <w:rPr>
          <w:rFonts w:hint="eastAsia" w:ascii="宋体" w:hAnsi="宋体"/>
          <w:color w:val="auto"/>
          <w:sz w:val="24"/>
          <w:szCs w:val="24"/>
          <w:highlight w:val="none"/>
          <w:lang w:eastAsia="zh-CN"/>
        </w:rPr>
        <w:t>竞投</w:t>
      </w:r>
      <w:r>
        <w:rPr>
          <w:rFonts w:hint="eastAsia" w:ascii="宋体" w:hAnsi="宋体"/>
          <w:color w:val="auto"/>
          <w:sz w:val="24"/>
          <w:szCs w:val="24"/>
          <w:highlight w:val="none"/>
        </w:rPr>
        <w:t>的结果如何，</w:t>
      </w:r>
      <w:r>
        <w:rPr>
          <w:rFonts w:hint="eastAsia" w:ascii="宋体" w:hAnsi="宋体"/>
          <w:color w:val="auto"/>
          <w:sz w:val="24"/>
          <w:szCs w:val="24"/>
          <w:highlight w:val="none"/>
          <w:lang w:eastAsia="zh-CN"/>
        </w:rPr>
        <w:t>招标代理机构</w:t>
      </w:r>
      <w:r>
        <w:rPr>
          <w:rFonts w:hint="eastAsia" w:ascii="宋体" w:hAnsi="宋体"/>
          <w:color w:val="auto"/>
          <w:sz w:val="24"/>
          <w:szCs w:val="24"/>
          <w:highlight w:val="none"/>
        </w:rPr>
        <w:t>和</w:t>
      </w:r>
      <w:r>
        <w:rPr>
          <w:rFonts w:hint="eastAsia" w:ascii="宋体" w:hAnsi="宋体"/>
          <w:color w:val="auto"/>
          <w:sz w:val="24"/>
          <w:szCs w:val="24"/>
          <w:highlight w:val="none"/>
          <w:lang w:eastAsia="zh-CN"/>
        </w:rPr>
        <w:t>招标人</w:t>
      </w:r>
      <w:r>
        <w:rPr>
          <w:rFonts w:hint="eastAsia" w:ascii="宋体" w:hAnsi="宋体"/>
          <w:color w:val="auto"/>
          <w:sz w:val="24"/>
          <w:szCs w:val="24"/>
          <w:highlight w:val="none"/>
        </w:rPr>
        <w:t>均无义务和责任承担这些费用。</w:t>
      </w:r>
    </w:p>
    <w:p w14:paraId="7436392F">
      <w:pPr>
        <w:numPr>
          <w:ilvl w:val="0"/>
          <w:numId w:val="20"/>
        </w:numPr>
        <w:tabs>
          <w:tab w:val="left" w:pos="540"/>
        </w:tabs>
        <w:spacing w:before="120" w:beforeLines="50" w:line="360" w:lineRule="auto"/>
        <w:ind w:left="420" w:leftChars="0" w:hanging="420" w:firstLineChars="0"/>
        <w:rPr>
          <w:rFonts w:ascii="宋体"/>
          <w:color w:val="auto"/>
          <w:sz w:val="24"/>
          <w:highlight w:val="none"/>
        </w:rPr>
      </w:pPr>
      <w:r>
        <w:rPr>
          <w:rFonts w:hint="eastAsia" w:ascii="宋体" w:hAnsi="宋体"/>
          <w:b/>
          <w:color w:val="auto"/>
          <w:sz w:val="24"/>
          <w:highlight w:val="none"/>
          <w:lang w:val="zh-CN"/>
        </w:rPr>
        <w:t>纪律与保密事项：</w:t>
      </w:r>
    </w:p>
    <w:p w14:paraId="147CCFCF">
      <w:pPr>
        <w:numPr>
          <w:ilvl w:val="0"/>
          <w:numId w:val="0"/>
        </w:numPr>
        <w:tabs>
          <w:tab w:val="left" w:pos="540"/>
        </w:tabs>
        <w:spacing w:line="360" w:lineRule="auto"/>
        <w:ind w:left="480" w:hanging="480" w:hangingChars="200"/>
        <w:rPr>
          <w:rFonts w:hint="eastAsia" w:ascii="宋体" w:hAnsi="宋体"/>
          <w:color w:val="auto"/>
          <w:sz w:val="24"/>
          <w:szCs w:val="24"/>
          <w:highlight w:val="none"/>
          <w:lang w:eastAsia="zh-CN"/>
        </w:rPr>
      </w:pPr>
      <w:r>
        <w:rPr>
          <w:rFonts w:hint="eastAsia" w:ascii="宋体" w:hAnsi="宋体"/>
          <w:color w:val="auto"/>
          <w:sz w:val="24"/>
          <w:szCs w:val="24"/>
          <w:highlight w:val="none"/>
          <w:lang w:val="en-US" w:eastAsia="zh-CN"/>
        </w:rPr>
        <w:t>5.1</w:t>
      </w:r>
      <w:r>
        <w:rPr>
          <w:rFonts w:hint="eastAsia" w:ascii="宋体" w:hAnsi="宋体"/>
          <w:color w:val="auto"/>
          <w:sz w:val="24"/>
          <w:szCs w:val="24"/>
          <w:highlight w:val="none"/>
          <w:lang w:eastAsia="zh-CN"/>
        </w:rPr>
        <w:t>投标人不得相互串通竞投报价，或以不正当的手段妨碍、排挤其他投标人，扰乱招标市场，破坏公平竞争原则，不得损害招标人或其他投标人的合法权益，投标人不得以向招标人行贿或者采取其他不正当手段谋取中标。</w:t>
      </w:r>
    </w:p>
    <w:p w14:paraId="5FCFE8B4">
      <w:pPr>
        <w:numPr>
          <w:ilvl w:val="0"/>
          <w:numId w:val="0"/>
        </w:numPr>
        <w:tabs>
          <w:tab w:val="left" w:pos="540"/>
        </w:tabs>
        <w:spacing w:line="360" w:lineRule="auto"/>
        <w:ind w:left="480" w:hanging="480" w:hangingChars="200"/>
        <w:rPr>
          <w:rFonts w:hint="eastAsia" w:ascii="宋体" w:hAnsi="宋体"/>
          <w:color w:val="auto"/>
          <w:sz w:val="24"/>
          <w:szCs w:val="24"/>
          <w:highlight w:val="none"/>
          <w:lang w:eastAsia="zh-CN"/>
        </w:rPr>
      </w:pPr>
      <w:r>
        <w:rPr>
          <w:rFonts w:hint="eastAsia" w:ascii="宋体" w:hAnsi="宋体"/>
          <w:color w:val="auto"/>
          <w:sz w:val="24"/>
          <w:szCs w:val="24"/>
          <w:highlight w:val="none"/>
          <w:lang w:val="en-US" w:eastAsia="zh-CN"/>
        </w:rPr>
        <w:t>5.2</w:t>
      </w:r>
      <w:r>
        <w:rPr>
          <w:rFonts w:hint="eastAsia" w:ascii="宋体" w:hAnsi="宋体"/>
          <w:color w:val="auto"/>
          <w:sz w:val="24"/>
          <w:szCs w:val="24"/>
          <w:highlight w:val="none"/>
          <w:lang w:eastAsia="zh-CN"/>
        </w:rPr>
        <w:t>获得本竞投文件者，应对文件进行保密，不得用作本次竞投以外的任何用途。若有要求，开标后，投标人应归还竞投文件中保密的文件和资料。</w:t>
      </w:r>
    </w:p>
    <w:p w14:paraId="1FF762E7">
      <w:pPr>
        <w:numPr>
          <w:ilvl w:val="0"/>
          <w:numId w:val="0"/>
        </w:numPr>
        <w:tabs>
          <w:tab w:val="left" w:pos="540"/>
        </w:tabs>
        <w:spacing w:line="360" w:lineRule="auto"/>
        <w:ind w:left="480" w:hanging="480" w:hangingChars="200"/>
        <w:rPr>
          <w:rFonts w:hint="eastAsia" w:ascii="宋体" w:hAnsi="宋体"/>
          <w:color w:val="auto"/>
          <w:sz w:val="24"/>
          <w:szCs w:val="24"/>
          <w:highlight w:val="none"/>
          <w:lang w:eastAsia="zh-CN"/>
        </w:rPr>
      </w:pPr>
      <w:r>
        <w:rPr>
          <w:rFonts w:hint="eastAsia" w:ascii="宋体" w:hAnsi="宋体"/>
          <w:color w:val="auto"/>
          <w:sz w:val="24"/>
          <w:szCs w:val="24"/>
          <w:highlight w:val="none"/>
          <w:lang w:val="en-US" w:eastAsia="zh-CN"/>
        </w:rPr>
        <w:t>5.3</w:t>
      </w:r>
      <w:r>
        <w:rPr>
          <w:rFonts w:hint="eastAsia" w:ascii="宋体" w:hAnsi="宋体"/>
          <w:color w:val="auto"/>
          <w:sz w:val="24"/>
          <w:szCs w:val="24"/>
          <w:highlight w:val="none"/>
          <w:lang w:eastAsia="zh-CN"/>
        </w:rPr>
        <w:t>由招标人向投标人提供的图纸、详细资料、样品、模型、模件和所有其他资料，被视为保密资料，仅被用于它所规定的用途。除非得到招标人的同意，不能向任何第三方透露。开标结束后，应招标人要求，投标人应归还所有从招标人处获得的保密资料。</w:t>
      </w:r>
    </w:p>
    <w:p w14:paraId="77D3A5C7">
      <w:pPr>
        <w:numPr>
          <w:ilvl w:val="0"/>
          <w:numId w:val="0"/>
        </w:numPr>
        <w:tabs>
          <w:tab w:val="left" w:pos="540"/>
        </w:tabs>
        <w:spacing w:line="360" w:lineRule="auto"/>
        <w:ind w:left="480" w:hanging="480" w:hangingChars="200"/>
        <w:rPr>
          <w:rFonts w:hint="eastAsia" w:ascii="宋体" w:hAnsi="宋体"/>
          <w:color w:val="auto"/>
          <w:sz w:val="24"/>
          <w:szCs w:val="24"/>
          <w:highlight w:val="none"/>
          <w:lang w:eastAsia="zh-CN"/>
        </w:rPr>
      </w:pPr>
      <w:r>
        <w:rPr>
          <w:rFonts w:hint="eastAsia" w:ascii="宋体" w:hAnsi="宋体"/>
          <w:color w:val="auto"/>
          <w:sz w:val="24"/>
          <w:szCs w:val="24"/>
          <w:highlight w:val="none"/>
          <w:lang w:val="en-US" w:eastAsia="zh-CN"/>
        </w:rPr>
        <w:t>5.4</w:t>
      </w:r>
      <w:r>
        <w:rPr>
          <w:rFonts w:hint="eastAsia" w:ascii="宋体" w:hAnsi="宋体"/>
          <w:color w:val="auto"/>
          <w:sz w:val="24"/>
          <w:szCs w:val="24"/>
          <w:highlight w:val="none"/>
          <w:lang w:eastAsia="zh-CN"/>
        </w:rPr>
        <w:t>除投标人被要求对竞投文件进行澄清外，在确定中标人之前，投标人不得与招标人就竞投价格、竞投方案等实质性内容进行谈判。</w:t>
      </w:r>
    </w:p>
    <w:p w14:paraId="492AFB53">
      <w:pPr>
        <w:numPr>
          <w:ilvl w:val="0"/>
          <w:numId w:val="0"/>
        </w:numPr>
        <w:tabs>
          <w:tab w:val="left" w:pos="540"/>
        </w:tabs>
        <w:spacing w:line="360" w:lineRule="auto"/>
        <w:ind w:left="480" w:hanging="480" w:hangingChars="200"/>
        <w:rPr>
          <w:rFonts w:hint="eastAsia" w:ascii="宋体" w:hAnsi="宋体"/>
          <w:color w:val="auto"/>
          <w:sz w:val="24"/>
          <w:szCs w:val="24"/>
          <w:highlight w:val="none"/>
          <w:lang w:eastAsia="zh-CN"/>
        </w:rPr>
      </w:pPr>
      <w:r>
        <w:rPr>
          <w:rFonts w:hint="eastAsia" w:ascii="宋体" w:hAnsi="宋体"/>
          <w:color w:val="auto"/>
          <w:sz w:val="24"/>
          <w:szCs w:val="24"/>
          <w:highlight w:val="none"/>
          <w:lang w:val="en-US" w:eastAsia="zh-CN"/>
        </w:rPr>
        <w:t>5.5</w:t>
      </w:r>
      <w:r>
        <w:rPr>
          <w:rFonts w:hint="eastAsia" w:ascii="宋体" w:hAnsi="宋体"/>
          <w:color w:val="auto"/>
          <w:sz w:val="24"/>
          <w:szCs w:val="24"/>
          <w:highlight w:val="none"/>
          <w:lang w:eastAsia="zh-CN"/>
        </w:rPr>
        <w:t>从递交资格审查文件截止之日起至授予合同期间，在资格审查文件的审查、澄清阶段，投标人试图对招标代理机构施加任何影响或对招标人的比较及授予合同的决定产生影响，都可能导致其取消资格。</w:t>
      </w:r>
    </w:p>
    <w:p w14:paraId="4427CE6E">
      <w:pPr>
        <w:numPr>
          <w:ilvl w:val="0"/>
          <w:numId w:val="20"/>
        </w:numPr>
        <w:tabs>
          <w:tab w:val="left" w:pos="540"/>
        </w:tabs>
        <w:spacing w:before="120" w:beforeLines="50" w:line="360" w:lineRule="auto"/>
        <w:ind w:left="420" w:leftChars="0" w:hanging="420" w:firstLineChars="0"/>
        <w:rPr>
          <w:rFonts w:ascii="宋体"/>
          <w:b/>
          <w:color w:val="auto"/>
          <w:sz w:val="24"/>
          <w:highlight w:val="none"/>
          <w:lang w:val="zh-CN"/>
        </w:rPr>
      </w:pPr>
      <w:r>
        <w:rPr>
          <w:rFonts w:hint="eastAsia" w:ascii="宋体" w:hAnsi="宋体"/>
          <w:b/>
          <w:color w:val="auto"/>
          <w:sz w:val="24"/>
          <w:highlight w:val="none"/>
          <w:lang w:val="zh-CN"/>
        </w:rPr>
        <w:t>勘探现场及咨询答疑会：</w:t>
      </w:r>
    </w:p>
    <w:p w14:paraId="43F9A446">
      <w:pPr>
        <w:numPr>
          <w:ilvl w:val="0"/>
          <w:numId w:val="0"/>
        </w:numPr>
        <w:tabs>
          <w:tab w:val="left" w:pos="540"/>
        </w:tabs>
        <w:spacing w:line="360" w:lineRule="auto"/>
        <w:ind w:left="480" w:hanging="480" w:hangingChars="200"/>
        <w:rPr>
          <w:rFonts w:hint="eastAsia" w:ascii="宋体" w:hAnsi="宋体"/>
          <w:color w:val="auto"/>
          <w:sz w:val="24"/>
          <w:szCs w:val="24"/>
          <w:highlight w:val="none"/>
          <w:lang w:val="zh-CN" w:eastAsia="zh-CN"/>
        </w:rPr>
      </w:pPr>
      <w:r>
        <w:rPr>
          <w:rFonts w:hint="eastAsia" w:ascii="宋体" w:hAnsi="宋体"/>
          <w:color w:val="auto"/>
          <w:sz w:val="24"/>
          <w:szCs w:val="24"/>
          <w:highlight w:val="none"/>
          <w:lang w:val="en-US" w:eastAsia="zh-CN"/>
        </w:rPr>
        <w:t>6.1</w:t>
      </w:r>
      <w:r>
        <w:rPr>
          <w:rFonts w:hint="eastAsia" w:ascii="宋体" w:hAnsi="宋体"/>
          <w:color w:val="auto"/>
          <w:sz w:val="24"/>
          <w:szCs w:val="24"/>
          <w:highlight w:val="none"/>
          <w:lang w:val="zh-CN" w:eastAsia="zh-CN"/>
        </w:rPr>
        <w:t>投标人应充分重视和仔细地进行这种考察，以便获取那些须投标人自己负责的有关编制资格审查文件和签署合同所涉及现场所有的资料。一旦中标，这种考察即被认为其结果已在中标文件中得到充分反映。</w:t>
      </w:r>
    </w:p>
    <w:p w14:paraId="2D9E7E1C">
      <w:pPr>
        <w:numPr>
          <w:ilvl w:val="0"/>
          <w:numId w:val="0"/>
        </w:numPr>
        <w:tabs>
          <w:tab w:val="left" w:pos="540"/>
        </w:tabs>
        <w:spacing w:line="360" w:lineRule="auto"/>
        <w:ind w:left="480" w:hanging="480" w:hangingChars="200"/>
        <w:rPr>
          <w:rFonts w:hint="eastAsia" w:ascii="宋体" w:hAnsi="宋体"/>
          <w:color w:val="auto"/>
          <w:sz w:val="24"/>
          <w:szCs w:val="24"/>
          <w:highlight w:val="none"/>
          <w:lang w:val="zh-CN" w:eastAsia="zh-CN"/>
        </w:rPr>
      </w:pPr>
      <w:r>
        <w:rPr>
          <w:rFonts w:hint="eastAsia" w:ascii="宋体" w:hAnsi="宋体"/>
          <w:color w:val="auto"/>
          <w:sz w:val="24"/>
          <w:szCs w:val="24"/>
          <w:highlight w:val="none"/>
          <w:lang w:val="en-US" w:eastAsia="zh-CN"/>
        </w:rPr>
        <w:t>6.2</w:t>
      </w:r>
      <w:r>
        <w:rPr>
          <w:rFonts w:hint="eastAsia" w:ascii="宋体" w:hAnsi="宋体"/>
          <w:color w:val="auto"/>
          <w:sz w:val="24"/>
          <w:szCs w:val="24"/>
          <w:highlight w:val="none"/>
          <w:lang w:val="zh-CN" w:eastAsia="zh-CN"/>
        </w:rPr>
        <w:t>招标人向投标人提供的有关现场的数据和资料，是招标人现有的能被投标人利用的资料，招标人对投标人做出的任何推论、理解和结论均不负责任。</w:t>
      </w:r>
    </w:p>
    <w:p w14:paraId="74D83B12">
      <w:pPr>
        <w:numPr>
          <w:ilvl w:val="0"/>
          <w:numId w:val="0"/>
        </w:numPr>
        <w:tabs>
          <w:tab w:val="left" w:pos="540"/>
        </w:tabs>
        <w:spacing w:line="360" w:lineRule="auto"/>
        <w:ind w:left="480" w:hanging="480" w:hangingChars="200"/>
        <w:rPr>
          <w:rFonts w:hint="eastAsia" w:ascii="宋体" w:hAnsi="宋体"/>
          <w:color w:val="auto"/>
          <w:sz w:val="24"/>
          <w:szCs w:val="24"/>
          <w:highlight w:val="none"/>
          <w:lang w:val="zh-CN" w:eastAsia="zh-CN"/>
        </w:rPr>
      </w:pPr>
      <w:r>
        <w:rPr>
          <w:rFonts w:hint="eastAsia" w:ascii="宋体" w:hAnsi="宋体"/>
          <w:color w:val="auto"/>
          <w:sz w:val="24"/>
          <w:szCs w:val="24"/>
          <w:highlight w:val="none"/>
          <w:lang w:val="en-US" w:eastAsia="zh-CN"/>
        </w:rPr>
        <w:t>6.3</w:t>
      </w:r>
      <w:r>
        <w:rPr>
          <w:rFonts w:hint="eastAsia" w:ascii="宋体" w:hAnsi="宋体"/>
          <w:color w:val="auto"/>
          <w:sz w:val="24"/>
          <w:szCs w:val="24"/>
          <w:highlight w:val="none"/>
          <w:lang w:val="zh-CN" w:eastAsia="zh-CN"/>
        </w:rPr>
        <w:t>经招标人允许，投标人可为踏勘目的进入招标人的项目现场。在考察过程中，投标人及其代表必须承担那些进入现场后，由于他们的行为所造成的人身伤害（不管是否致命）、财产损失或损坏，以及其他任何原因造成的损失、损坏或费用，投标人不得因此使招标人承担有关的责任和蒙受损失。</w:t>
      </w:r>
    </w:p>
    <w:p w14:paraId="3CE59C95">
      <w:pPr>
        <w:numPr>
          <w:ilvl w:val="0"/>
          <w:numId w:val="0"/>
        </w:numPr>
        <w:tabs>
          <w:tab w:val="left" w:pos="540"/>
        </w:tabs>
        <w:spacing w:line="360" w:lineRule="auto"/>
        <w:ind w:left="480" w:hanging="480" w:hangingChars="200"/>
        <w:rPr>
          <w:rFonts w:hint="eastAsia" w:ascii="宋体" w:hAnsi="宋体"/>
          <w:color w:val="auto"/>
          <w:sz w:val="24"/>
          <w:szCs w:val="24"/>
          <w:highlight w:val="none"/>
          <w:lang w:val="zh-CN" w:eastAsia="zh-CN"/>
        </w:rPr>
      </w:pPr>
      <w:r>
        <w:rPr>
          <w:rFonts w:hint="eastAsia" w:ascii="宋体" w:hAnsi="宋体"/>
          <w:color w:val="auto"/>
          <w:sz w:val="24"/>
          <w:szCs w:val="24"/>
          <w:highlight w:val="none"/>
          <w:lang w:val="en-US" w:eastAsia="zh-CN"/>
        </w:rPr>
        <w:t>6.4</w:t>
      </w:r>
      <w:r>
        <w:rPr>
          <w:rFonts w:hint="eastAsia" w:ascii="宋体" w:hAnsi="宋体"/>
          <w:color w:val="auto"/>
          <w:sz w:val="24"/>
          <w:szCs w:val="24"/>
          <w:highlight w:val="none"/>
          <w:lang w:val="zh-CN" w:eastAsia="zh-CN"/>
        </w:rPr>
        <w:t>本项目不集中统一举行现场勘探，投标人可自行考察现场，因此而产生的费用由投标人自己承担。</w:t>
      </w:r>
    </w:p>
    <w:p w14:paraId="6713CDF6">
      <w:pPr>
        <w:spacing w:line="312" w:lineRule="auto"/>
        <w:rPr>
          <w:rFonts w:ascii="宋体"/>
          <w:color w:val="auto"/>
          <w:sz w:val="24"/>
          <w:highlight w:val="none"/>
        </w:rPr>
      </w:pPr>
    </w:p>
    <w:p w14:paraId="0DE49E84">
      <w:pPr>
        <w:spacing w:after="72" w:afterLines="30" w:line="336" w:lineRule="auto"/>
        <w:ind w:right="-178" w:rightChars="-85"/>
        <w:jc w:val="center"/>
        <w:outlineLvl w:val="1"/>
        <w:rPr>
          <w:rFonts w:ascii="宋体"/>
          <w:b/>
          <w:color w:val="auto"/>
          <w:sz w:val="28"/>
          <w:szCs w:val="28"/>
          <w:highlight w:val="none"/>
        </w:rPr>
      </w:pPr>
      <w:bookmarkStart w:id="41" w:name="_Toc334432591"/>
      <w:bookmarkStart w:id="42" w:name="_Toc6537"/>
      <w:bookmarkStart w:id="43" w:name="_Toc19884"/>
      <w:bookmarkStart w:id="44" w:name="_Toc10095"/>
      <w:bookmarkStart w:id="45" w:name="_Toc21830"/>
      <w:r>
        <w:rPr>
          <w:rFonts w:hint="eastAsia" w:ascii="宋体" w:hAnsi="宋体"/>
          <w:b/>
          <w:color w:val="auto"/>
          <w:sz w:val="28"/>
          <w:szCs w:val="28"/>
          <w:highlight w:val="none"/>
        </w:rPr>
        <w:t>三、</w:t>
      </w:r>
      <w:r>
        <w:rPr>
          <w:rFonts w:hint="eastAsia" w:ascii="宋体" w:hAnsi="宋体"/>
          <w:b/>
          <w:color w:val="auto"/>
          <w:sz w:val="28"/>
          <w:szCs w:val="28"/>
          <w:highlight w:val="none"/>
          <w:lang w:eastAsia="zh-CN"/>
        </w:rPr>
        <w:t>竞投文件</w:t>
      </w:r>
      <w:r>
        <w:rPr>
          <w:rFonts w:hint="eastAsia" w:ascii="宋体" w:hAnsi="宋体"/>
          <w:b/>
          <w:color w:val="auto"/>
          <w:sz w:val="28"/>
          <w:szCs w:val="28"/>
          <w:highlight w:val="none"/>
        </w:rPr>
        <w:t>说明</w:t>
      </w:r>
      <w:bookmarkEnd w:id="41"/>
      <w:bookmarkEnd w:id="42"/>
      <w:bookmarkEnd w:id="43"/>
      <w:bookmarkEnd w:id="44"/>
      <w:bookmarkEnd w:id="45"/>
    </w:p>
    <w:p w14:paraId="02BA1668">
      <w:pPr>
        <w:numPr>
          <w:ilvl w:val="0"/>
          <w:numId w:val="20"/>
        </w:numPr>
        <w:tabs>
          <w:tab w:val="left" w:pos="540"/>
        </w:tabs>
        <w:spacing w:line="360" w:lineRule="auto"/>
        <w:ind w:left="420" w:leftChars="0" w:hanging="420" w:firstLineChars="0"/>
        <w:rPr>
          <w:rFonts w:ascii="宋体"/>
          <w:b/>
          <w:color w:val="auto"/>
          <w:sz w:val="24"/>
          <w:highlight w:val="none"/>
          <w:lang w:val="zh-CN"/>
        </w:rPr>
      </w:pPr>
      <w:r>
        <w:rPr>
          <w:rFonts w:hint="eastAsia" w:ascii="宋体" w:hAnsi="宋体"/>
          <w:b/>
          <w:color w:val="auto"/>
          <w:sz w:val="24"/>
          <w:highlight w:val="none"/>
          <w:lang w:val="zh-CN"/>
        </w:rPr>
        <w:t>竞投文件的构成</w:t>
      </w:r>
    </w:p>
    <w:p w14:paraId="245CDB56">
      <w:pPr>
        <w:numPr>
          <w:ilvl w:val="0"/>
          <w:numId w:val="0"/>
        </w:numPr>
        <w:tabs>
          <w:tab w:val="left" w:pos="540"/>
        </w:tabs>
        <w:spacing w:line="360" w:lineRule="auto"/>
        <w:ind w:left="480" w:hanging="480" w:hangingChars="200"/>
        <w:rPr>
          <w:rFonts w:hint="eastAsia" w:ascii="宋体" w:hAnsi="宋体"/>
          <w:color w:val="auto"/>
          <w:sz w:val="24"/>
          <w:szCs w:val="24"/>
          <w:highlight w:val="none"/>
          <w:lang w:val="zh-CN" w:eastAsia="zh-CN"/>
        </w:rPr>
      </w:pPr>
      <w:r>
        <w:rPr>
          <w:rFonts w:hint="eastAsia" w:ascii="宋体" w:hAnsi="宋体"/>
          <w:color w:val="auto"/>
          <w:sz w:val="24"/>
          <w:szCs w:val="24"/>
          <w:highlight w:val="none"/>
          <w:lang w:val="en-US" w:eastAsia="zh-CN"/>
        </w:rPr>
        <w:t>7.1</w:t>
      </w:r>
      <w:r>
        <w:rPr>
          <w:rFonts w:hint="eastAsia" w:ascii="宋体" w:hAnsi="宋体"/>
          <w:color w:val="auto"/>
          <w:sz w:val="24"/>
          <w:szCs w:val="24"/>
          <w:highlight w:val="none"/>
          <w:lang w:val="en-GB" w:eastAsia="zh-CN"/>
        </w:rPr>
        <w:t>本竞投文件是招标人作为阐明项目内容及相应的伴随服务的基本要求，竞投文件、资格审查文件、资格审查结果、竞投结果、合同书和相关承诺确认文件均作为任何一方当事人履约的重要依据。投标人获得竞投文件后，应仔细检查竞投文件的所有内容，如有残缺等问题应在获得竞投文件1天内向招标代理机构（或招标人）提出，否则，由此引起的损失由投标人自己承担。</w:t>
      </w:r>
    </w:p>
    <w:p w14:paraId="4857E1B1">
      <w:pPr>
        <w:numPr>
          <w:ilvl w:val="0"/>
          <w:numId w:val="0"/>
        </w:numPr>
        <w:tabs>
          <w:tab w:val="left" w:pos="540"/>
        </w:tabs>
        <w:spacing w:line="360" w:lineRule="auto"/>
        <w:ind w:left="480" w:hanging="480" w:hangingChars="200"/>
        <w:rPr>
          <w:rFonts w:hint="eastAsia" w:ascii="宋体" w:hAnsi="宋体"/>
          <w:color w:val="auto"/>
          <w:sz w:val="24"/>
          <w:szCs w:val="24"/>
          <w:highlight w:val="none"/>
          <w:lang w:val="zh-CN" w:eastAsia="zh-CN"/>
        </w:rPr>
      </w:pPr>
      <w:r>
        <w:rPr>
          <w:rFonts w:hint="eastAsia" w:ascii="宋体" w:hAnsi="宋体"/>
          <w:color w:val="auto"/>
          <w:sz w:val="24"/>
          <w:szCs w:val="24"/>
          <w:highlight w:val="none"/>
          <w:lang w:val="en-US" w:eastAsia="zh-CN"/>
        </w:rPr>
        <w:t>7.2</w:t>
      </w:r>
      <w:r>
        <w:rPr>
          <w:rFonts w:hint="eastAsia" w:ascii="宋体" w:hAnsi="宋体"/>
          <w:color w:val="auto"/>
          <w:sz w:val="24"/>
          <w:szCs w:val="24"/>
          <w:highlight w:val="none"/>
          <w:lang w:val="zh-CN" w:eastAsia="zh-CN"/>
        </w:rPr>
        <w:t>本竞投文件由刻录电子文档光盘和纸质文件制作，两种介质的文件内容均为一致且具有同等效力，它由：①竞投公告、②项目内容、③投标人须知、④合同书范本、⑤资格审查文件格式共五部分组成。</w:t>
      </w:r>
    </w:p>
    <w:p w14:paraId="49C9F264">
      <w:pPr>
        <w:numPr>
          <w:ilvl w:val="0"/>
          <w:numId w:val="0"/>
        </w:numPr>
        <w:tabs>
          <w:tab w:val="left" w:pos="540"/>
        </w:tabs>
        <w:spacing w:line="360" w:lineRule="auto"/>
        <w:ind w:left="480" w:hanging="480" w:hangingChars="200"/>
        <w:rPr>
          <w:rFonts w:hint="eastAsia" w:ascii="宋体" w:hAnsi="宋体"/>
          <w:color w:val="auto"/>
          <w:sz w:val="24"/>
          <w:szCs w:val="24"/>
          <w:highlight w:val="none"/>
          <w:lang w:val="zh-CN" w:eastAsia="zh-CN"/>
        </w:rPr>
      </w:pPr>
      <w:r>
        <w:rPr>
          <w:rFonts w:hint="eastAsia" w:ascii="宋体" w:hAnsi="宋体"/>
          <w:color w:val="auto"/>
          <w:sz w:val="24"/>
          <w:szCs w:val="24"/>
          <w:highlight w:val="none"/>
          <w:lang w:val="en-US" w:eastAsia="zh-CN"/>
        </w:rPr>
        <w:t>7.3</w:t>
      </w:r>
      <w:r>
        <w:rPr>
          <w:rFonts w:hint="eastAsia" w:ascii="宋体" w:hAnsi="宋体"/>
          <w:color w:val="auto"/>
          <w:sz w:val="24"/>
          <w:szCs w:val="24"/>
          <w:highlight w:val="none"/>
          <w:lang w:val="zh-CN" w:eastAsia="zh-CN"/>
        </w:rPr>
        <w:t>投标人应仔细阅读、并充分理解竞投文件的全部内容（包括所有的补充、修改内容、重要事项、格式、条款和技术规范、参数及要求等）。按照竞投文件的要求编制资格审查文件和提交全部资料，并对竞投文件提出的实质性和条件作出响应。</w:t>
      </w:r>
    </w:p>
    <w:p w14:paraId="31F0E1E8">
      <w:pPr>
        <w:numPr>
          <w:ilvl w:val="0"/>
          <w:numId w:val="0"/>
        </w:numPr>
        <w:tabs>
          <w:tab w:val="left" w:pos="540"/>
        </w:tabs>
        <w:spacing w:line="360" w:lineRule="auto"/>
        <w:ind w:left="480" w:hanging="480" w:hangingChars="200"/>
        <w:rPr>
          <w:rFonts w:hint="eastAsia" w:ascii="宋体" w:hAnsi="宋体"/>
          <w:color w:val="auto"/>
          <w:sz w:val="24"/>
          <w:szCs w:val="24"/>
          <w:highlight w:val="none"/>
          <w:lang w:val="zh-CN" w:eastAsia="zh-CN"/>
        </w:rPr>
      </w:pPr>
      <w:r>
        <w:rPr>
          <w:rFonts w:hint="eastAsia" w:ascii="宋体" w:hAnsi="宋体"/>
          <w:color w:val="auto"/>
          <w:sz w:val="24"/>
          <w:szCs w:val="24"/>
          <w:highlight w:val="none"/>
          <w:lang w:val="en-US" w:eastAsia="zh-CN"/>
        </w:rPr>
        <w:t>7.2</w:t>
      </w:r>
      <w:r>
        <w:rPr>
          <w:rFonts w:hint="eastAsia" w:ascii="宋体" w:hAnsi="宋体"/>
          <w:color w:val="auto"/>
          <w:sz w:val="24"/>
          <w:szCs w:val="24"/>
          <w:highlight w:val="none"/>
          <w:lang w:val="zh-CN" w:eastAsia="zh-CN"/>
        </w:rPr>
        <w:t>投标人没有按照竞投文件要求提交全部资料，或者资格审查文件没有对竞投文件在各方面都做出实质性响应是投标人的风险，有可能导致其资格审查不通过，或被认定为无效竞投或被确定为竞投无效。</w:t>
      </w:r>
    </w:p>
    <w:p w14:paraId="7323DA3B">
      <w:pPr>
        <w:numPr>
          <w:ilvl w:val="0"/>
          <w:numId w:val="20"/>
        </w:numPr>
        <w:tabs>
          <w:tab w:val="left" w:pos="540"/>
        </w:tabs>
        <w:spacing w:before="120" w:beforeLines="50" w:line="360" w:lineRule="auto"/>
        <w:ind w:left="420" w:leftChars="0" w:hanging="420" w:firstLineChars="0"/>
        <w:rPr>
          <w:rFonts w:ascii="宋体"/>
          <w:b/>
          <w:color w:val="auto"/>
          <w:sz w:val="24"/>
          <w:highlight w:val="none"/>
          <w:lang w:val="zh-CN"/>
        </w:rPr>
      </w:pPr>
      <w:r>
        <w:rPr>
          <w:rFonts w:hint="eastAsia" w:ascii="宋体" w:hAnsi="宋体"/>
          <w:b/>
          <w:color w:val="auto"/>
          <w:sz w:val="24"/>
          <w:highlight w:val="none"/>
          <w:lang w:val="zh-CN"/>
        </w:rPr>
        <w:t>竞投文件的澄清</w:t>
      </w:r>
    </w:p>
    <w:p w14:paraId="5D7DB509">
      <w:pPr>
        <w:numPr>
          <w:ilvl w:val="0"/>
          <w:numId w:val="0"/>
        </w:numPr>
        <w:tabs>
          <w:tab w:val="left" w:pos="540"/>
        </w:tabs>
        <w:spacing w:line="360" w:lineRule="auto"/>
        <w:ind w:left="480" w:hanging="480" w:hangingChars="200"/>
        <w:rPr>
          <w:rFonts w:hint="eastAsia" w:ascii="宋体" w:hAnsi="宋体"/>
          <w:color w:val="auto"/>
          <w:sz w:val="24"/>
          <w:szCs w:val="24"/>
          <w:highlight w:val="none"/>
          <w:lang w:val="zh-CN" w:eastAsia="zh-CN"/>
        </w:rPr>
      </w:pPr>
      <w:r>
        <w:rPr>
          <w:rFonts w:hint="eastAsia" w:ascii="宋体" w:hAnsi="宋体"/>
          <w:color w:val="auto"/>
          <w:sz w:val="24"/>
          <w:szCs w:val="24"/>
          <w:highlight w:val="none"/>
          <w:lang w:val="en-US" w:eastAsia="zh-CN"/>
        </w:rPr>
        <w:t>8.1</w:t>
      </w:r>
      <w:r>
        <w:rPr>
          <w:rFonts w:hint="eastAsia" w:ascii="宋体" w:hAnsi="宋体"/>
          <w:color w:val="auto"/>
          <w:sz w:val="24"/>
          <w:szCs w:val="24"/>
          <w:highlight w:val="none"/>
          <w:lang w:val="zh-CN" w:eastAsia="zh-CN"/>
        </w:rPr>
        <w:t>投标人对本竞投文件如有疑问，请按竞投公告载明的地址以书面形式【包括信函或传真等（应加盖公章），下同】向招标代理机构提出澄清要求,招标代理机构对收到的任何澄清要求以书面形式予以答复。</w:t>
      </w:r>
    </w:p>
    <w:p w14:paraId="42635A72">
      <w:pPr>
        <w:numPr>
          <w:ilvl w:val="0"/>
          <w:numId w:val="0"/>
        </w:numPr>
        <w:tabs>
          <w:tab w:val="left" w:pos="540"/>
        </w:tabs>
        <w:spacing w:line="360" w:lineRule="auto"/>
        <w:ind w:left="480" w:hanging="480" w:hangingChars="200"/>
        <w:rPr>
          <w:rFonts w:hint="eastAsia" w:ascii="宋体" w:hAnsi="宋体"/>
          <w:color w:val="auto"/>
          <w:sz w:val="24"/>
          <w:szCs w:val="24"/>
          <w:highlight w:val="none"/>
          <w:lang w:val="zh-CN" w:eastAsia="zh-CN"/>
        </w:rPr>
      </w:pPr>
      <w:r>
        <w:rPr>
          <w:rFonts w:hint="eastAsia" w:ascii="宋体" w:hAnsi="宋体"/>
          <w:color w:val="auto"/>
          <w:sz w:val="24"/>
          <w:szCs w:val="24"/>
          <w:highlight w:val="none"/>
          <w:lang w:val="en-US" w:eastAsia="zh-CN"/>
        </w:rPr>
        <w:t>8.2</w:t>
      </w:r>
      <w:r>
        <w:rPr>
          <w:rFonts w:hint="eastAsia" w:ascii="宋体" w:hAnsi="宋体"/>
          <w:color w:val="auto"/>
          <w:sz w:val="24"/>
          <w:szCs w:val="24"/>
          <w:highlight w:val="none"/>
          <w:lang w:val="zh-CN" w:eastAsia="zh-CN"/>
        </w:rPr>
        <w:t>根据需要，招标代理机构和招标人在收到投标人递交的书面疑问或澄清要求后，将以书面形式解答或通过信息发布网站发布答疑或澄清文件。答疑或澄清文件将作为竞投文件的组成部分，如与竞投文件内容不一致的，应以最终的答疑或澄清文件的内容为准。</w:t>
      </w:r>
    </w:p>
    <w:p w14:paraId="2F7058A1">
      <w:pPr>
        <w:numPr>
          <w:ilvl w:val="0"/>
          <w:numId w:val="0"/>
        </w:numPr>
        <w:tabs>
          <w:tab w:val="left" w:pos="540"/>
        </w:tabs>
        <w:spacing w:line="360" w:lineRule="auto"/>
        <w:ind w:left="480" w:hanging="480" w:hangingChars="200"/>
        <w:rPr>
          <w:rFonts w:hint="eastAsia" w:ascii="宋体" w:hAnsi="宋体"/>
          <w:color w:val="auto"/>
          <w:sz w:val="24"/>
          <w:szCs w:val="24"/>
          <w:highlight w:val="none"/>
          <w:lang w:val="zh-CN" w:eastAsia="zh-CN"/>
        </w:rPr>
      </w:pPr>
      <w:r>
        <w:rPr>
          <w:rFonts w:hint="eastAsia" w:ascii="宋体" w:hAnsi="宋体"/>
          <w:color w:val="auto"/>
          <w:sz w:val="24"/>
          <w:szCs w:val="24"/>
          <w:highlight w:val="none"/>
          <w:lang w:val="en-US" w:eastAsia="zh-CN"/>
        </w:rPr>
        <w:t>8.3</w:t>
      </w:r>
      <w:r>
        <w:rPr>
          <w:rFonts w:hint="eastAsia" w:ascii="宋体" w:hAnsi="宋体"/>
          <w:color w:val="auto"/>
          <w:sz w:val="24"/>
          <w:szCs w:val="24"/>
          <w:highlight w:val="none"/>
          <w:lang w:val="zh-CN" w:eastAsia="zh-CN"/>
        </w:rPr>
        <w:t>投标人在规定的时间内，未对发布的澄清内容或答疑内容作出回复时，招标代理机构和招标人将视其为无异议。</w:t>
      </w:r>
    </w:p>
    <w:p w14:paraId="52A65CDA">
      <w:pPr>
        <w:numPr>
          <w:ilvl w:val="0"/>
          <w:numId w:val="0"/>
        </w:numPr>
        <w:tabs>
          <w:tab w:val="left" w:pos="540"/>
        </w:tabs>
        <w:spacing w:line="360" w:lineRule="auto"/>
        <w:ind w:left="480" w:hanging="480" w:hangingChars="200"/>
        <w:rPr>
          <w:rFonts w:hint="eastAsia" w:ascii="宋体" w:hAnsi="宋体"/>
          <w:color w:val="auto"/>
          <w:sz w:val="24"/>
          <w:szCs w:val="24"/>
          <w:highlight w:val="none"/>
          <w:lang w:val="zh-CN" w:eastAsia="zh-CN"/>
        </w:rPr>
      </w:pPr>
      <w:r>
        <w:rPr>
          <w:rFonts w:hint="eastAsia" w:ascii="宋体" w:hAnsi="宋体"/>
          <w:color w:val="auto"/>
          <w:sz w:val="24"/>
          <w:szCs w:val="24"/>
          <w:highlight w:val="none"/>
          <w:lang w:val="en-US" w:eastAsia="zh-CN"/>
        </w:rPr>
        <w:t>8.4</w:t>
      </w:r>
      <w:r>
        <w:rPr>
          <w:rFonts w:hint="eastAsia" w:ascii="宋体" w:hAnsi="宋体"/>
          <w:color w:val="auto"/>
          <w:sz w:val="24"/>
          <w:szCs w:val="24"/>
          <w:highlight w:val="none"/>
          <w:lang w:val="zh-CN" w:eastAsia="zh-CN"/>
        </w:rPr>
        <w:t>招标过程中的一切修改文件或补充文件一旦确认后与竞投文件具有同等法律效力，投标人有责任履行相应的义务。</w:t>
      </w:r>
    </w:p>
    <w:p w14:paraId="1BB9FF69">
      <w:pPr>
        <w:numPr>
          <w:ilvl w:val="0"/>
          <w:numId w:val="0"/>
        </w:numPr>
        <w:tabs>
          <w:tab w:val="left" w:pos="540"/>
        </w:tabs>
        <w:spacing w:line="360" w:lineRule="auto"/>
        <w:ind w:left="480" w:hanging="480" w:hangingChars="200"/>
        <w:rPr>
          <w:rFonts w:hint="eastAsia" w:ascii="宋体" w:hAnsi="宋体"/>
          <w:color w:val="auto"/>
          <w:sz w:val="24"/>
          <w:szCs w:val="24"/>
          <w:highlight w:val="none"/>
          <w:lang w:val="zh-CN" w:eastAsia="zh-CN"/>
        </w:rPr>
      </w:pPr>
      <w:r>
        <w:rPr>
          <w:rFonts w:hint="eastAsia" w:ascii="宋体" w:hAnsi="宋体"/>
          <w:color w:val="auto"/>
          <w:sz w:val="24"/>
          <w:szCs w:val="24"/>
          <w:highlight w:val="none"/>
          <w:lang w:val="en-US" w:eastAsia="zh-CN"/>
        </w:rPr>
        <w:t>8.5澄清的内容可能影响资格审查文件编制的，招标人或者招标代理机构应当在竞投截止时间至少1日前，</w:t>
      </w:r>
      <w:r>
        <w:rPr>
          <w:rFonts w:hint="eastAsia" w:ascii="宋体" w:hAnsi="宋体"/>
          <w:color w:val="auto"/>
          <w:sz w:val="24"/>
          <w:szCs w:val="24"/>
          <w:highlight w:val="none"/>
          <w:lang w:val="zh-CN" w:eastAsia="zh-CN"/>
        </w:rPr>
        <w:t>在</w:t>
      </w:r>
      <w:r>
        <w:rPr>
          <w:rFonts w:hint="eastAsia" w:ascii="宋体" w:hAnsi="宋体"/>
          <w:color w:val="auto"/>
          <w:sz w:val="24"/>
          <w:szCs w:val="24"/>
          <w:highlight w:val="none"/>
          <w:lang w:val="en-US" w:eastAsia="zh-CN"/>
        </w:rPr>
        <w:t>招标代理网页发布</w:t>
      </w:r>
      <w:r>
        <w:rPr>
          <w:rFonts w:hint="eastAsia" w:ascii="宋体" w:hAnsi="宋体"/>
          <w:color w:val="auto"/>
          <w:sz w:val="24"/>
          <w:szCs w:val="24"/>
          <w:highlight w:val="none"/>
          <w:lang w:val="zh-CN" w:eastAsia="zh-CN"/>
        </w:rPr>
        <w:t>通知</w:t>
      </w:r>
      <w:r>
        <w:rPr>
          <w:rFonts w:hint="eastAsia" w:ascii="宋体" w:hAnsi="宋体"/>
          <w:color w:val="auto"/>
          <w:sz w:val="24"/>
          <w:szCs w:val="24"/>
          <w:highlight w:val="none"/>
          <w:lang w:val="en-US" w:eastAsia="zh-CN"/>
        </w:rPr>
        <w:t>潜在投标人；不足1日的，招标人或者招标代理机构应当顺延提交资格审查文件的截止时间。</w:t>
      </w:r>
    </w:p>
    <w:p w14:paraId="56AD6650">
      <w:pPr>
        <w:numPr>
          <w:ilvl w:val="0"/>
          <w:numId w:val="20"/>
        </w:numPr>
        <w:tabs>
          <w:tab w:val="left" w:pos="540"/>
        </w:tabs>
        <w:spacing w:before="120" w:beforeLines="50" w:line="360" w:lineRule="auto"/>
        <w:ind w:left="420" w:leftChars="0" w:hanging="420" w:firstLineChars="0"/>
        <w:rPr>
          <w:rFonts w:ascii="宋体"/>
          <w:b/>
          <w:color w:val="auto"/>
          <w:sz w:val="24"/>
          <w:highlight w:val="none"/>
          <w:lang w:val="zh-CN"/>
        </w:rPr>
      </w:pPr>
      <w:r>
        <w:rPr>
          <w:rFonts w:hint="eastAsia" w:ascii="宋体" w:hAnsi="宋体"/>
          <w:b/>
          <w:color w:val="auto"/>
          <w:sz w:val="24"/>
          <w:highlight w:val="none"/>
          <w:lang w:val="zh-CN"/>
        </w:rPr>
        <w:t>竞投文件的修改</w:t>
      </w:r>
    </w:p>
    <w:p w14:paraId="79983A7D">
      <w:pPr>
        <w:numPr>
          <w:ilvl w:val="0"/>
          <w:numId w:val="0"/>
        </w:numPr>
        <w:tabs>
          <w:tab w:val="left" w:pos="540"/>
        </w:tabs>
        <w:spacing w:line="360" w:lineRule="auto"/>
        <w:ind w:left="480" w:hanging="480" w:hangingChars="200"/>
        <w:rPr>
          <w:rFonts w:hint="eastAsia" w:ascii="宋体" w:hAnsi="宋体"/>
          <w:color w:val="auto"/>
          <w:sz w:val="24"/>
          <w:szCs w:val="24"/>
          <w:highlight w:val="none"/>
          <w:lang w:val="zh-CN" w:eastAsia="zh-CN"/>
        </w:rPr>
      </w:pPr>
      <w:r>
        <w:rPr>
          <w:rFonts w:hint="eastAsia" w:ascii="宋体" w:hAnsi="宋体"/>
          <w:color w:val="auto"/>
          <w:sz w:val="24"/>
          <w:szCs w:val="24"/>
          <w:highlight w:val="none"/>
          <w:lang w:val="en-US" w:eastAsia="zh-CN"/>
        </w:rPr>
        <w:t>9.1</w:t>
      </w:r>
      <w:r>
        <w:rPr>
          <w:rFonts w:hint="eastAsia" w:ascii="宋体" w:hAnsi="宋体"/>
          <w:color w:val="auto"/>
          <w:sz w:val="24"/>
          <w:szCs w:val="24"/>
          <w:highlight w:val="none"/>
          <w:lang w:val="zh-CN" w:eastAsia="zh-CN"/>
        </w:rPr>
        <w:t>在递交资格审查文件截止日期前的任何时候，无论何故，招标代理机构可主动地或在答复投标人提出澄清的问题时对竞投文件进行修改。</w:t>
      </w:r>
    </w:p>
    <w:p w14:paraId="032DE829">
      <w:pPr>
        <w:numPr>
          <w:ilvl w:val="0"/>
          <w:numId w:val="0"/>
        </w:numPr>
        <w:tabs>
          <w:tab w:val="left" w:pos="540"/>
        </w:tabs>
        <w:spacing w:line="360" w:lineRule="auto"/>
        <w:ind w:left="480" w:hanging="480" w:hangingChars="200"/>
        <w:rPr>
          <w:rFonts w:hint="eastAsia" w:ascii="宋体" w:hAnsi="宋体"/>
          <w:color w:val="auto"/>
          <w:sz w:val="24"/>
          <w:szCs w:val="24"/>
          <w:highlight w:val="none"/>
          <w:lang w:val="zh-CN" w:eastAsia="zh-CN"/>
        </w:rPr>
      </w:pPr>
      <w:r>
        <w:rPr>
          <w:rFonts w:hint="eastAsia" w:ascii="宋体" w:hAnsi="宋体"/>
          <w:color w:val="auto"/>
          <w:sz w:val="24"/>
          <w:szCs w:val="24"/>
          <w:highlight w:val="none"/>
          <w:lang w:val="en-US" w:eastAsia="zh-CN"/>
        </w:rPr>
        <w:t>9.2</w:t>
      </w:r>
      <w:r>
        <w:rPr>
          <w:rFonts w:hint="eastAsia" w:ascii="宋体" w:hAnsi="宋体"/>
          <w:color w:val="auto"/>
          <w:sz w:val="24"/>
          <w:szCs w:val="24"/>
          <w:highlight w:val="none"/>
          <w:lang w:val="zh-CN" w:eastAsia="zh-CN"/>
        </w:rPr>
        <w:t>竞投文件的修改将在</w:t>
      </w:r>
      <w:r>
        <w:rPr>
          <w:rFonts w:hint="eastAsia" w:ascii="宋体" w:hAnsi="宋体"/>
          <w:color w:val="auto"/>
          <w:sz w:val="24"/>
          <w:szCs w:val="24"/>
          <w:highlight w:val="none"/>
          <w:lang w:val="en-US" w:eastAsia="zh-CN"/>
        </w:rPr>
        <w:t>招标代理网页发布，投标人自行查看，一经发布则视作全体投标人均已知悉</w:t>
      </w:r>
      <w:r>
        <w:rPr>
          <w:rFonts w:hint="eastAsia" w:ascii="宋体" w:hAnsi="宋体"/>
          <w:color w:val="auto"/>
          <w:sz w:val="24"/>
          <w:szCs w:val="24"/>
          <w:highlight w:val="none"/>
          <w:lang w:val="zh-CN" w:eastAsia="zh-CN"/>
        </w:rPr>
        <w:t>。</w:t>
      </w:r>
    </w:p>
    <w:p w14:paraId="40E4C6C5">
      <w:pPr>
        <w:numPr>
          <w:ilvl w:val="0"/>
          <w:numId w:val="0"/>
        </w:numPr>
        <w:tabs>
          <w:tab w:val="left" w:pos="540"/>
        </w:tabs>
        <w:spacing w:line="360" w:lineRule="auto"/>
        <w:ind w:left="480" w:hanging="480" w:hangingChars="200"/>
        <w:rPr>
          <w:rFonts w:hint="eastAsia" w:ascii="宋体" w:hAnsi="宋体"/>
          <w:color w:val="auto"/>
          <w:sz w:val="24"/>
          <w:szCs w:val="24"/>
          <w:highlight w:val="none"/>
          <w:lang w:val="zh-CN" w:eastAsia="zh-CN"/>
        </w:rPr>
      </w:pPr>
      <w:r>
        <w:rPr>
          <w:rFonts w:hint="eastAsia" w:ascii="宋体" w:hAnsi="宋体"/>
          <w:color w:val="auto"/>
          <w:sz w:val="24"/>
          <w:szCs w:val="24"/>
          <w:highlight w:val="none"/>
          <w:lang w:val="en-US" w:eastAsia="zh-CN"/>
        </w:rPr>
        <w:t>9.3</w:t>
      </w:r>
      <w:r>
        <w:rPr>
          <w:rFonts w:hint="eastAsia" w:ascii="宋体" w:hAnsi="宋体"/>
          <w:color w:val="auto"/>
          <w:sz w:val="24"/>
          <w:szCs w:val="24"/>
          <w:highlight w:val="none"/>
          <w:lang w:val="zh-CN" w:eastAsia="zh-CN"/>
        </w:rPr>
        <w:t>必要时，为使投标人在准备资格审查文件时有合理的时间考虑竞投文件的修改，招标代理机构可酌情推迟本项目递交资格审查文件截止日期，但应发布公告并书面通知所有购买竞投文件的潜在投标人。</w:t>
      </w:r>
    </w:p>
    <w:p w14:paraId="3655D6CE">
      <w:pPr>
        <w:numPr>
          <w:ilvl w:val="0"/>
          <w:numId w:val="0"/>
        </w:numPr>
        <w:tabs>
          <w:tab w:val="left" w:pos="540"/>
        </w:tabs>
        <w:spacing w:line="360" w:lineRule="auto"/>
        <w:ind w:left="480" w:hanging="480" w:hangingChars="200"/>
        <w:rPr>
          <w:rFonts w:hint="eastAsia" w:ascii="宋体" w:hAnsi="宋体"/>
          <w:color w:val="auto"/>
          <w:sz w:val="24"/>
          <w:szCs w:val="24"/>
          <w:highlight w:val="none"/>
          <w:lang w:val="zh-CN" w:eastAsia="zh-CN"/>
        </w:rPr>
      </w:pPr>
      <w:r>
        <w:rPr>
          <w:rFonts w:hint="eastAsia" w:ascii="宋体" w:hAnsi="宋体"/>
          <w:color w:val="auto"/>
          <w:sz w:val="24"/>
          <w:szCs w:val="24"/>
          <w:highlight w:val="none"/>
          <w:lang w:val="en-US" w:eastAsia="zh-CN"/>
        </w:rPr>
        <w:t>9.4</w:t>
      </w:r>
      <w:r>
        <w:rPr>
          <w:rFonts w:hint="eastAsia" w:ascii="宋体" w:hAnsi="宋体"/>
          <w:color w:val="auto"/>
          <w:sz w:val="24"/>
          <w:szCs w:val="24"/>
          <w:highlight w:val="none"/>
          <w:lang w:val="zh-CN" w:eastAsia="zh-CN"/>
        </w:rPr>
        <w:t>修改的内容可能影响资格审查文件编制的，招标人或者招标代理机构应当在竞投截止时间至少</w:t>
      </w:r>
      <w:r>
        <w:rPr>
          <w:rFonts w:hint="eastAsia" w:ascii="宋体" w:hAnsi="宋体"/>
          <w:color w:val="auto"/>
          <w:sz w:val="24"/>
          <w:szCs w:val="24"/>
          <w:highlight w:val="none"/>
          <w:lang w:val="en-US" w:eastAsia="zh-CN"/>
        </w:rPr>
        <w:t>1</w:t>
      </w:r>
      <w:r>
        <w:rPr>
          <w:rFonts w:hint="eastAsia" w:ascii="宋体" w:hAnsi="宋体"/>
          <w:color w:val="auto"/>
          <w:sz w:val="24"/>
          <w:szCs w:val="24"/>
          <w:highlight w:val="none"/>
          <w:lang w:val="zh-CN" w:eastAsia="zh-CN"/>
        </w:rPr>
        <w:t>日前，在</w:t>
      </w:r>
      <w:r>
        <w:rPr>
          <w:rFonts w:hint="eastAsia" w:ascii="宋体" w:hAnsi="宋体"/>
          <w:color w:val="auto"/>
          <w:sz w:val="24"/>
          <w:szCs w:val="24"/>
          <w:highlight w:val="none"/>
          <w:lang w:val="en-US" w:eastAsia="zh-CN"/>
        </w:rPr>
        <w:t>招标代理网页发布</w:t>
      </w:r>
      <w:r>
        <w:rPr>
          <w:rFonts w:hint="eastAsia" w:ascii="宋体" w:hAnsi="宋体"/>
          <w:color w:val="auto"/>
          <w:sz w:val="24"/>
          <w:szCs w:val="24"/>
          <w:highlight w:val="none"/>
          <w:lang w:val="zh-CN" w:eastAsia="zh-CN"/>
        </w:rPr>
        <w:t>通知</w:t>
      </w:r>
      <w:r>
        <w:rPr>
          <w:rFonts w:hint="eastAsia" w:ascii="宋体" w:hAnsi="宋体"/>
          <w:color w:val="auto"/>
          <w:sz w:val="24"/>
          <w:szCs w:val="24"/>
          <w:highlight w:val="none"/>
          <w:lang w:val="en-US" w:eastAsia="zh-CN"/>
        </w:rPr>
        <w:t>潜在投标人</w:t>
      </w:r>
      <w:r>
        <w:rPr>
          <w:rFonts w:hint="eastAsia" w:ascii="宋体" w:hAnsi="宋体"/>
          <w:color w:val="auto"/>
          <w:sz w:val="24"/>
          <w:szCs w:val="24"/>
          <w:highlight w:val="none"/>
          <w:lang w:val="zh-CN" w:eastAsia="zh-CN"/>
        </w:rPr>
        <w:t>；不足</w:t>
      </w:r>
      <w:r>
        <w:rPr>
          <w:rFonts w:hint="eastAsia" w:ascii="宋体" w:hAnsi="宋体"/>
          <w:color w:val="auto"/>
          <w:sz w:val="24"/>
          <w:szCs w:val="24"/>
          <w:highlight w:val="none"/>
          <w:lang w:val="en-US" w:eastAsia="zh-CN"/>
        </w:rPr>
        <w:t>1</w:t>
      </w:r>
      <w:r>
        <w:rPr>
          <w:rFonts w:hint="eastAsia" w:ascii="宋体" w:hAnsi="宋体"/>
          <w:color w:val="auto"/>
          <w:sz w:val="24"/>
          <w:szCs w:val="24"/>
          <w:highlight w:val="none"/>
          <w:lang w:val="zh-CN" w:eastAsia="zh-CN"/>
        </w:rPr>
        <w:t>日的，招标人或者招标代理机构应当顺延提交资格审查文件的截止时间。</w:t>
      </w:r>
    </w:p>
    <w:p w14:paraId="0F9723F5">
      <w:pPr>
        <w:spacing w:after="72" w:afterLines="30" w:line="336" w:lineRule="auto"/>
        <w:ind w:right="-178" w:rightChars="-85"/>
        <w:jc w:val="center"/>
        <w:rPr>
          <w:rFonts w:hint="eastAsia" w:ascii="宋体" w:hAnsi="宋体"/>
          <w:b/>
          <w:color w:val="auto"/>
          <w:sz w:val="28"/>
          <w:szCs w:val="28"/>
          <w:highlight w:val="none"/>
        </w:rPr>
      </w:pPr>
      <w:bookmarkStart w:id="46" w:name="_Toc334432592"/>
      <w:bookmarkStart w:id="47" w:name="_Toc31024"/>
    </w:p>
    <w:p w14:paraId="07ADB39A">
      <w:pPr>
        <w:spacing w:after="72" w:afterLines="30" w:line="336" w:lineRule="auto"/>
        <w:ind w:right="-178" w:rightChars="-85"/>
        <w:jc w:val="center"/>
        <w:outlineLvl w:val="1"/>
        <w:rPr>
          <w:rFonts w:ascii="宋体"/>
          <w:b/>
          <w:color w:val="auto"/>
          <w:sz w:val="28"/>
          <w:szCs w:val="28"/>
          <w:highlight w:val="none"/>
        </w:rPr>
      </w:pPr>
      <w:bookmarkStart w:id="48" w:name="_Toc29099"/>
      <w:bookmarkStart w:id="49" w:name="_Toc5541"/>
      <w:bookmarkStart w:id="50" w:name="_Toc18892"/>
      <w:r>
        <w:rPr>
          <w:rFonts w:hint="eastAsia" w:ascii="宋体" w:hAnsi="宋体"/>
          <w:b/>
          <w:color w:val="auto"/>
          <w:sz w:val="28"/>
          <w:szCs w:val="28"/>
          <w:highlight w:val="none"/>
        </w:rPr>
        <w:t>四、</w:t>
      </w:r>
      <w:r>
        <w:rPr>
          <w:rFonts w:hint="eastAsia" w:ascii="宋体" w:hAnsi="宋体"/>
          <w:b/>
          <w:color w:val="auto"/>
          <w:sz w:val="28"/>
          <w:szCs w:val="28"/>
          <w:highlight w:val="none"/>
          <w:lang w:eastAsia="zh-CN"/>
        </w:rPr>
        <w:t>资格审查</w:t>
      </w:r>
      <w:r>
        <w:rPr>
          <w:rFonts w:hint="eastAsia" w:ascii="宋体" w:hAnsi="宋体"/>
          <w:b/>
          <w:color w:val="auto"/>
          <w:sz w:val="28"/>
          <w:szCs w:val="28"/>
          <w:highlight w:val="none"/>
        </w:rPr>
        <w:t>文件说明</w:t>
      </w:r>
      <w:bookmarkEnd w:id="46"/>
      <w:bookmarkEnd w:id="47"/>
      <w:bookmarkEnd w:id="48"/>
      <w:bookmarkEnd w:id="49"/>
      <w:bookmarkEnd w:id="50"/>
    </w:p>
    <w:p w14:paraId="72F1F8F0">
      <w:pPr>
        <w:numPr>
          <w:ilvl w:val="0"/>
          <w:numId w:val="20"/>
        </w:numPr>
        <w:tabs>
          <w:tab w:val="left" w:pos="540"/>
        </w:tabs>
        <w:spacing w:line="374" w:lineRule="auto"/>
        <w:ind w:left="420" w:leftChars="0" w:hanging="420" w:firstLineChars="0"/>
        <w:rPr>
          <w:rFonts w:ascii="宋体"/>
          <w:b/>
          <w:color w:val="auto"/>
          <w:sz w:val="24"/>
          <w:highlight w:val="none"/>
          <w:lang w:val="zh-CN"/>
        </w:rPr>
      </w:pPr>
      <w:r>
        <w:rPr>
          <w:rFonts w:hint="eastAsia" w:ascii="宋体" w:hAnsi="宋体"/>
          <w:b/>
          <w:color w:val="auto"/>
          <w:sz w:val="24"/>
          <w:highlight w:val="none"/>
          <w:lang w:val="zh-CN"/>
        </w:rPr>
        <w:t>原则</w:t>
      </w:r>
    </w:p>
    <w:p w14:paraId="0EF3E724">
      <w:pPr>
        <w:numPr>
          <w:ilvl w:val="0"/>
          <w:numId w:val="0"/>
        </w:numPr>
        <w:tabs>
          <w:tab w:val="left" w:pos="540"/>
        </w:tabs>
        <w:spacing w:line="360" w:lineRule="auto"/>
        <w:ind w:left="480" w:hanging="480" w:hangingChars="200"/>
        <w:rPr>
          <w:rFonts w:hint="eastAsia" w:ascii="宋体" w:hAnsi="宋体"/>
          <w:color w:val="auto"/>
          <w:sz w:val="24"/>
          <w:szCs w:val="24"/>
          <w:highlight w:val="none"/>
          <w:lang w:val="en-GB" w:eastAsia="zh-CN"/>
        </w:rPr>
      </w:pPr>
      <w:r>
        <w:rPr>
          <w:rFonts w:hint="eastAsia" w:ascii="宋体" w:hAnsi="宋体"/>
          <w:color w:val="auto"/>
          <w:sz w:val="24"/>
          <w:szCs w:val="24"/>
          <w:highlight w:val="none"/>
          <w:lang w:val="en-US" w:eastAsia="zh-CN"/>
        </w:rPr>
        <w:t>10.1</w:t>
      </w:r>
      <w:r>
        <w:rPr>
          <w:rFonts w:hint="eastAsia" w:ascii="宋体" w:hAnsi="宋体"/>
          <w:color w:val="auto"/>
          <w:sz w:val="24"/>
          <w:szCs w:val="24"/>
          <w:highlight w:val="none"/>
          <w:lang w:val="en-GB" w:eastAsia="zh-CN"/>
        </w:rPr>
        <w:t>资格审查文件应突出重点，精简扼要。所提供的资料必须符合诚实信用、客观真实的原则，对弄虚作假或违背诚信的违法行为，应自行承担相应的后果及法律责任。</w:t>
      </w:r>
    </w:p>
    <w:p w14:paraId="13839C5F">
      <w:pPr>
        <w:numPr>
          <w:ilvl w:val="0"/>
          <w:numId w:val="0"/>
        </w:numPr>
        <w:tabs>
          <w:tab w:val="left" w:pos="540"/>
        </w:tabs>
        <w:spacing w:line="360" w:lineRule="auto"/>
        <w:ind w:left="480" w:hanging="480" w:hangingChars="200"/>
        <w:rPr>
          <w:rFonts w:hint="eastAsia" w:ascii="宋体" w:hAnsi="宋体"/>
          <w:color w:val="auto"/>
          <w:sz w:val="24"/>
          <w:szCs w:val="24"/>
          <w:highlight w:val="none"/>
          <w:lang w:val="zh-CN" w:eastAsia="zh-CN"/>
        </w:rPr>
      </w:pPr>
      <w:r>
        <w:rPr>
          <w:rFonts w:hint="eastAsia" w:ascii="宋体" w:hAnsi="宋体"/>
          <w:color w:val="auto"/>
          <w:sz w:val="24"/>
          <w:szCs w:val="24"/>
          <w:highlight w:val="none"/>
          <w:lang w:val="en-US" w:eastAsia="zh-CN"/>
        </w:rPr>
        <w:t>10.2</w:t>
      </w:r>
      <w:r>
        <w:rPr>
          <w:rFonts w:hint="eastAsia" w:ascii="宋体" w:hAnsi="宋体"/>
          <w:color w:val="auto"/>
          <w:sz w:val="24"/>
          <w:szCs w:val="24"/>
          <w:highlight w:val="none"/>
          <w:lang w:val="zh-CN" w:eastAsia="zh-CN"/>
        </w:rPr>
        <w:t>无论采购结果如何，投标人自行承担因参加本次竞投而发生的一切费用。</w:t>
      </w:r>
    </w:p>
    <w:p w14:paraId="17038DFB">
      <w:pPr>
        <w:numPr>
          <w:ilvl w:val="0"/>
          <w:numId w:val="20"/>
        </w:numPr>
        <w:tabs>
          <w:tab w:val="left" w:pos="540"/>
        </w:tabs>
        <w:spacing w:before="120" w:beforeLines="50" w:line="374" w:lineRule="auto"/>
        <w:ind w:left="420" w:leftChars="0" w:hanging="420" w:firstLineChars="0"/>
        <w:rPr>
          <w:rFonts w:ascii="宋体"/>
          <w:b/>
          <w:color w:val="auto"/>
          <w:sz w:val="24"/>
          <w:highlight w:val="none"/>
          <w:lang w:val="zh-CN"/>
        </w:rPr>
      </w:pPr>
      <w:bookmarkStart w:id="51" w:name="_Toc168310815"/>
      <w:bookmarkStart w:id="52" w:name="_Toc119321129"/>
      <w:bookmarkStart w:id="53" w:name="_Toc136684235"/>
      <w:bookmarkStart w:id="54" w:name="_Toc148948833"/>
      <w:bookmarkStart w:id="55" w:name="_Toc136682646"/>
      <w:bookmarkStart w:id="56" w:name="_Toc149106628"/>
      <w:bookmarkStart w:id="57" w:name="_Toc136659020"/>
      <w:bookmarkStart w:id="58" w:name="_Toc142985643"/>
      <w:bookmarkStart w:id="59" w:name="_Toc136663328"/>
      <w:r>
        <w:rPr>
          <w:rFonts w:hint="eastAsia" w:ascii="宋体" w:hAnsi="宋体"/>
          <w:b/>
          <w:color w:val="auto"/>
          <w:sz w:val="24"/>
          <w:highlight w:val="none"/>
          <w:lang w:val="zh-CN"/>
        </w:rPr>
        <w:t>资格审查文件的组成与制作要求</w:t>
      </w:r>
      <w:bookmarkEnd w:id="51"/>
      <w:bookmarkEnd w:id="52"/>
      <w:bookmarkEnd w:id="53"/>
      <w:bookmarkEnd w:id="54"/>
      <w:bookmarkEnd w:id="55"/>
      <w:bookmarkEnd w:id="56"/>
      <w:bookmarkEnd w:id="57"/>
      <w:bookmarkEnd w:id="58"/>
      <w:bookmarkEnd w:id="59"/>
    </w:p>
    <w:p w14:paraId="13259399">
      <w:pPr>
        <w:numPr>
          <w:ilvl w:val="0"/>
          <w:numId w:val="0"/>
        </w:numPr>
        <w:tabs>
          <w:tab w:val="left" w:pos="540"/>
        </w:tabs>
        <w:spacing w:line="360" w:lineRule="auto"/>
        <w:ind w:left="480" w:hanging="480" w:hangingChars="200"/>
        <w:rPr>
          <w:rFonts w:hint="eastAsia" w:ascii="宋体" w:hAnsi="宋体"/>
          <w:color w:val="auto"/>
          <w:sz w:val="24"/>
          <w:szCs w:val="24"/>
          <w:highlight w:val="none"/>
          <w:lang w:val="en-GB" w:eastAsia="zh-CN"/>
        </w:rPr>
      </w:pPr>
      <w:r>
        <w:rPr>
          <w:rFonts w:hint="eastAsia" w:ascii="宋体" w:hAnsi="宋体"/>
          <w:color w:val="auto"/>
          <w:sz w:val="24"/>
          <w:szCs w:val="24"/>
          <w:highlight w:val="none"/>
          <w:lang w:val="en-US" w:eastAsia="zh-CN"/>
        </w:rPr>
        <w:t>11.1</w:t>
      </w:r>
      <w:r>
        <w:rPr>
          <w:rFonts w:hint="eastAsia" w:ascii="宋体" w:hAnsi="宋体"/>
          <w:color w:val="auto"/>
          <w:sz w:val="24"/>
          <w:szCs w:val="24"/>
          <w:highlight w:val="none"/>
          <w:lang w:val="en-GB" w:eastAsia="zh-CN"/>
        </w:rPr>
        <w:t>具体按竞投文件中第五部分“资格审查文件格式”的要求统一编制。</w:t>
      </w:r>
    </w:p>
    <w:p w14:paraId="3F179E8C">
      <w:pPr>
        <w:numPr>
          <w:ilvl w:val="0"/>
          <w:numId w:val="0"/>
        </w:numPr>
        <w:tabs>
          <w:tab w:val="left" w:pos="540"/>
        </w:tabs>
        <w:spacing w:line="360" w:lineRule="auto"/>
        <w:ind w:left="480" w:hanging="480" w:hangingChars="200"/>
        <w:rPr>
          <w:rFonts w:hint="eastAsia" w:ascii="宋体" w:hAnsi="宋体"/>
          <w:color w:val="auto"/>
          <w:sz w:val="24"/>
          <w:szCs w:val="24"/>
          <w:highlight w:val="none"/>
          <w:lang w:val="en-GB" w:eastAsia="zh-CN"/>
        </w:rPr>
      </w:pPr>
      <w:r>
        <w:rPr>
          <w:rFonts w:hint="eastAsia" w:ascii="宋体" w:hAnsi="宋体"/>
          <w:color w:val="auto"/>
          <w:sz w:val="24"/>
          <w:szCs w:val="24"/>
          <w:highlight w:val="none"/>
          <w:lang w:val="en-US" w:eastAsia="zh-CN"/>
        </w:rPr>
        <w:t>11.2</w:t>
      </w:r>
      <w:r>
        <w:rPr>
          <w:rFonts w:hint="eastAsia" w:ascii="宋体" w:hAnsi="宋体"/>
          <w:color w:val="auto"/>
          <w:sz w:val="24"/>
          <w:szCs w:val="24"/>
          <w:highlight w:val="none"/>
          <w:lang w:val="en-GB" w:eastAsia="zh-CN"/>
        </w:rPr>
        <w:t>投标人应以A4版面统一编制《资格审查文件》。《资格审查文件》的电子文档应采用word格式或PDF格式制作</w:t>
      </w:r>
      <w:r>
        <w:rPr>
          <w:rFonts w:hint="eastAsia" w:ascii="宋体" w:hAnsi="宋体"/>
          <w:color w:val="auto"/>
          <w:sz w:val="24"/>
          <w:szCs w:val="24"/>
          <w:highlight w:val="none"/>
          <w:lang w:val="en-US" w:eastAsia="zh-CN"/>
        </w:rPr>
        <w:t>，并统一刻录在两份光盘内。</w:t>
      </w:r>
    </w:p>
    <w:p w14:paraId="6973ADA4">
      <w:pPr>
        <w:numPr>
          <w:ilvl w:val="0"/>
          <w:numId w:val="0"/>
        </w:numPr>
        <w:tabs>
          <w:tab w:val="left" w:pos="540"/>
        </w:tabs>
        <w:spacing w:line="360" w:lineRule="auto"/>
        <w:ind w:left="480" w:hanging="480" w:hangingChars="200"/>
        <w:rPr>
          <w:rFonts w:hint="eastAsia" w:ascii="宋体" w:hAnsi="宋体"/>
          <w:color w:val="auto"/>
          <w:sz w:val="24"/>
          <w:szCs w:val="24"/>
          <w:highlight w:val="none"/>
          <w:lang w:val="en-GB" w:eastAsia="zh-CN"/>
        </w:rPr>
      </w:pPr>
      <w:r>
        <w:rPr>
          <w:rFonts w:hint="eastAsia" w:ascii="宋体" w:hAnsi="宋体"/>
          <w:color w:val="auto"/>
          <w:sz w:val="24"/>
          <w:szCs w:val="24"/>
          <w:highlight w:val="none"/>
          <w:lang w:val="en-US" w:eastAsia="zh-CN"/>
        </w:rPr>
        <w:t>11.3</w:t>
      </w:r>
      <w:r>
        <w:rPr>
          <w:rFonts w:hint="eastAsia" w:ascii="宋体" w:hAnsi="宋体"/>
          <w:color w:val="auto"/>
          <w:sz w:val="24"/>
          <w:szCs w:val="24"/>
          <w:highlight w:val="none"/>
          <w:lang w:val="en-GB" w:eastAsia="zh-CN"/>
        </w:rPr>
        <w:t>资格审查文件递交的内容和数量详见《投标须知前附表》要求。</w:t>
      </w:r>
    </w:p>
    <w:p w14:paraId="38F2B722">
      <w:pPr>
        <w:numPr>
          <w:ilvl w:val="0"/>
          <w:numId w:val="0"/>
        </w:numPr>
        <w:tabs>
          <w:tab w:val="left" w:pos="540"/>
        </w:tabs>
        <w:spacing w:line="360" w:lineRule="auto"/>
        <w:ind w:left="480" w:hanging="480" w:hangingChars="200"/>
        <w:rPr>
          <w:rFonts w:hint="eastAsia" w:ascii="宋体" w:hAnsi="宋体"/>
          <w:color w:val="auto"/>
          <w:sz w:val="24"/>
          <w:szCs w:val="24"/>
          <w:highlight w:val="none"/>
          <w:lang w:val="en-GB" w:eastAsia="zh-CN"/>
        </w:rPr>
      </w:pPr>
      <w:r>
        <w:rPr>
          <w:rFonts w:hint="eastAsia" w:ascii="宋体" w:hAnsi="宋体"/>
          <w:color w:val="auto"/>
          <w:sz w:val="24"/>
          <w:szCs w:val="24"/>
          <w:highlight w:val="none"/>
          <w:lang w:val="en-US" w:eastAsia="zh-CN"/>
        </w:rPr>
        <w:t>11.4</w:t>
      </w:r>
      <w:r>
        <w:rPr>
          <w:rFonts w:hint="eastAsia" w:ascii="宋体" w:hAnsi="宋体"/>
          <w:color w:val="auto"/>
          <w:sz w:val="24"/>
          <w:szCs w:val="24"/>
          <w:highlight w:val="none"/>
          <w:lang w:val="en-GB" w:eastAsia="zh-CN"/>
        </w:rPr>
        <w:t>资格审查文件的制作以及投标人与招标代理机构就有关竞投的所有来往函电均应使用简体中文。投标人提交的支持文件或印刷的资料可以用另一种语言，但相应内容须附有中文译注，对不同文字文本竞投文件的解释发生异议的，以中文文本为准。对中文翻译有异议的，以权威机构的译本为准。</w:t>
      </w:r>
    </w:p>
    <w:p w14:paraId="608AEB09">
      <w:pPr>
        <w:numPr>
          <w:ilvl w:val="0"/>
          <w:numId w:val="0"/>
        </w:numPr>
        <w:tabs>
          <w:tab w:val="left" w:pos="540"/>
        </w:tabs>
        <w:spacing w:line="360" w:lineRule="auto"/>
        <w:ind w:left="480" w:hanging="480" w:hangingChars="200"/>
        <w:rPr>
          <w:rFonts w:hint="eastAsia" w:ascii="宋体" w:hAnsi="宋体"/>
          <w:color w:val="auto"/>
          <w:sz w:val="24"/>
          <w:szCs w:val="24"/>
          <w:highlight w:val="none"/>
          <w:lang w:val="en-GB" w:eastAsia="zh-CN"/>
        </w:rPr>
      </w:pPr>
      <w:r>
        <w:rPr>
          <w:rFonts w:hint="eastAsia" w:ascii="宋体" w:hAnsi="宋体"/>
          <w:color w:val="auto"/>
          <w:sz w:val="24"/>
          <w:szCs w:val="24"/>
          <w:highlight w:val="none"/>
          <w:lang w:val="en-US" w:eastAsia="zh-CN"/>
        </w:rPr>
        <w:t>11.5</w:t>
      </w:r>
      <w:r>
        <w:rPr>
          <w:rFonts w:hint="eastAsia" w:ascii="宋体" w:hAnsi="宋体"/>
          <w:color w:val="auto"/>
          <w:sz w:val="24"/>
          <w:szCs w:val="24"/>
          <w:highlight w:val="none"/>
          <w:lang w:val="en-GB" w:eastAsia="zh-CN"/>
        </w:rPr>
        <w:t>资格审查文件使用的度量衡单位采用中华人民共和国法定计量单位。</w:t>
      </w:r>
    </w:p>
    <w:p w14:paraId="668E8706">
      <w:pPr>
        <w:numPr>
          <w:ilvl w:val="0"/>
          <w:numId w:val="0"/>
        </w:numPr>
        <w:tabs>
          <w:tab w:val="left" w:pos="540"/>
        </w:tabs>
        <w:spacing w:line="360" w:lineRule="auto"/>
        <w:ind w:left="480" w:hanging="480" w:hangingChars="200"/>
        <w:rPr>
          <w:rFonts w:hint="eastAsia" w:ascii="宋体" w:hAnsi="宋体"/>
          <w:color w:val="auto"/>
          <w:sz w:val="24"/>
          <w:szCs w:val="24"/>
          <w:highlight w:val="none"/>
          <w:lang w:val="en-GB" w:eastAsia="zh-CN"/>
        </w:rPr>
      </w:pPr>
      <w:r>
        <w:rPr>
          <w:rFonts w:hint="eastAsia" w:ascii="宋体" w:hAnsi="宋体"/>
          <w:color w:val="auto"/>
          <w:sz w:val="24"/>
          <w:szCs w:val="24"/>
          <w:highlight w:val="none"/>
          <w:lang w:val="en-US" w:eastAsia="zh-CN"/>
        </w:rPr>
        <w:t>11.6</w:t>
      </w:r>
      <w:r>
        <w:rPr>
          <w:rFonts w:hint="eastAsia" w:ascii="宋体" w:hAnsi="宋体"/>
          <w:color w:val="auto"/>
          <w:sz w:val="24"/>
          <w:szCs w:val="24"/>
          <w:highlight w:val="none"/>
          <w:lang w:val="en-GB" w:eastAsia="zh-CN"/>
        </w:rPr>
        <w:t>资格审查文件所使用的公章必须为企事业法人公章，且与投标人名称一致。需签名之处必须由当事人亲笔签署（或签章）。</w:t>
      </w:r>
    </w:p>
    <w:p w14:paraId="2EAB2860">
      <w:pPr>
        <w:numPr>
          <w:ilvl w:val="0"/>
          <w:numId w:val="0"/>
        </w:numPr>
        <w:tabs>
          <w:tab w:val="left" w:pos="540"/>
        </w:tabs>
        <w:spacing w:line="360" w:lineRule="auto"/>
        <w:ind w:left="480" w:hanging="480" w:hangingChars="200"/>
        <w:rPr>
          <w:rFonts w:hint="eastAsia" w:ascii="宋体" w:hAnsi="宋体"/>
          <w:color w:val="auto"/>
          <w:sz w:val="24"/>
          <w:szCs w:val="24"/>
          <w:highlight w:val="none"/>
          <w:lang w:val="en-GB" w:eastAsia="zh-CN"/>
        </w:rPr>
      </w:pPr>
      <w:r>
        <w:rPr>
          <w:rFonts w:hint="eastAsia" w:ascii="宋体" w:hAnsi="宋体"/>
          <w:color w:val="auto"/>
          <w:sz w:val="24"/>
          <w:szCs w:val="24"/>
          <w:highlight w:val="none"/>
          <w:lang w:val="en-US" w:eastAsia="zh-CN"/>
        </w:rPr>
        <w:t>11.7</w:t>
      </w:r>
      <w:r>
        <w:rPr>
          <w:rFonts w:hint="eastAsia" w:ascii="宋体" w:hAnsi="宋体"/>
          <w:color w:val="auto"/>
          <w:sz w:val="24"/>
          <w:szCs w:val="24"/>
          <w:highlight w:val="none"/>
          <w:lang w:val="en-GB" w:eastAsia="zh-CN"/>
        </w:rPr>
        <w:t>资格审查文件自制部分必须打印（副本文件可由正本文件复印而成），且整册装订牢固可靠且不能轻易脱落。如因装订问题而出现漏页或缺页，由此产生的一切后果由投标人自行承担。</w:t>
      </w:r>
    </w:p>
    <w:p w14:paraId="1073A3EB">
      <w:pPr>
        <w:numPr>
          <w:ilvl w:val="0"/>
          <w:numId w:val="0"/>
        </w:numPr>
        <w:tabs>
          <w:tab w:val="left" w:pos="540"/>
        </w:tabs>
        <w:spacing w:line="360" w:lineRule="auto"/>
        <w:ind w:left="480" w:hanging="480" w:hangingChars="200"/>
        <w:rPr>
          <w:rFonts w:hint="eastAsia" w:ascii="宋体" w:hAnsi="宋体"/>
          <w:color w:val="auto"/>
          <w:sz w:val="24"/>
          <w:szCs w:val="24"/>
          <w:highlight w:val="none"/>
          <w:lang w:val="en-GB" w:eastAsia="zh-CN"/>
        </w:rPr>
      </w:pPr>
      <w:r>
        <w:rPr>
          <w:rFonts w:hint="eastAsia" w:ascii="宋体" w:hAnsi="宋体"/>
          <w:color w:val="auto"/>
          <w:sz w:val="24"/>
          <w:szCs w:val="24"/>
          <w:highlight w:val="none"/>
          <w:lang w:val="en-US" w:eastAsia="zh-CN"/>
        </w:rPr>
        <w:t>11.8</w:t>
      </w:r>
      <w:r>
        <w:rPr>
          <w:rFonts w:hint="eastAsia" w:ascii="宋体" w:hAnsi="宋体"/>
          <w:color w:val="auto"/>
          <w:sz w:val="24"/>
          <w:szCs w:val="24"/>
          <w:highlight w:val="none"/>
          <w:lang w:val="en-GB" w:eastAsia="zh-CN"/>
        </w:rPr>
        <w:t>任何行间插字、涂改和增删（如有）必须由投标人代表签字确认并加盖投标人公章后方为有效。</w:t>
      </w:r>
    </w:p>
    <w:p w14:paraId="1DCCA6A2">
      <w:pPr>
        <w:numPr>
          <w:ilvl w:val="0"/>
          <w:numId w:val="0"/>
        </w:numPr>
        <w:tabs>
          <w:tab w:val="left" w:pos="540"/>
        </w:tabs>
        <w:spacing w:line="360" w:lineRule="auto"/>
        <w:ind w:left="480" w:hanging="480" w:hangingChars="200"/>
        <w:rPr>
          <w:rFonts w:hint="eastAsia" w:ascii="宋体" w:hAnsi="宋体"/>
          <w:color w:val="auto"/>
          <w:sz w:val="24"/>
          <w:szCs w:val="24"/>
          <w:highlight w:val="none"/>
          <w:lang w:val="en-GB" w:eastAsia="zh-CN"/>
        </w:rPr>
      </w:pPr>
      <w:r>
        <w:rPr>
          <w:rFonts w:hint="eastAsia" w:ascii="宋体" w:hAnsi="宋体"/>
          <w:color w:val="auto"/>
          <w:sz w:val="24"/>
          <w:szCs w:val="24"/>
          <w:highlight w:val="none"/>
          <w:lang w:val="en-US" w:eastAsia="zh-CN"/>
        </w:rPr>
        <w:t>11.9</w:t>
      </w:r>
      <w:r>
        <w:rPr>
          <w:rFonts w:hint="eastAsia" w:ascii="宋体" w:hAnsi="宋体"/>
          <w:color w:val="auto"/>
          <w:sz w:val="24"/>
          <w:szCs w:val="24"/>
          <w:highlight w:val="none"/>
          <w:lang w:val="en-GB" w:eastAsia="zh-CN"/>
        </w:rPr>
        <w:t>资格审查文件【正本】和【副本】的封面须加盖投标人公章。</w:t>
      </w:r>
    </w:p>
    <w:p w14:paraId="3220862E">
      <w:pPr>
        <w:numPr>
          <w:ilvl w:val="0"/>
          <w:numId w:val="0"/>
        </w:numPr>
        <w:tabs>
          <w:tab w:val="left" w:pos="540"/>
        </w:tabs>
        <w:spacing w:line="360" w:lineRule="auto"/>
        <w:ind w:left="480" w:hanging="480" w:hangingChars="200"/>
        <w:rPr>
          <w:color w:val="auto"/>
          <w:sz w:val="24"/>
          <w:highlight w:val="none"/>
          <w:lang w:val="en-GB"/>
        </w:rPr>
      </w:pPr>
      <w:r>
        <w:rPr>
          <w:rFonts w:hint="eastAsia" w:ascii="宋体" w:hAnsi="宋体"/>
          <w:color w:val="auto"/>
          <w:sz w:val="24"/>
          <w:highlight w:val="none"/>
          <w:lang w:val="en-US" w:eastAsia="zh-CN"/>
        </w:rPr>
        <w:t>11.10</w:t>
      </w:r>
      <w:r>
        <w:rPr>
          <w:rFonts w:hint="eastAsia" w:ascii="宋体" w:hAnsi="宋体"/>
          <w:color w:val="auto"/>
          <w:sz w:val="24"/>
          <w:szCs w:val="24"/>
          <w:highlight w:val="none"/>
          <w:lang w:val="en-GB" w:eastAsia="zh-CN"/>
        </w:rPr>
        <w:t>资格</w:t>
      </w:r>
      <w:r>
        <w:rPr>
          <w:rFonts w:hint="eastAsia" w:hAnsi="宋体"/>
          <w:color w:val="auto"/>
          <w:sz w:val="24"/>
          <w:highlight w:val="none"/>
          <w:lang w:val="en-GB" w:eastAsia="zh-CN"/>
        </w:rPr>
        <w:t>审查</w:t>
      </w:r>
      <w:r>
        <w:rPr>
          <w:rFonts w:hint="eastAsia" w:ascii="宋体" w:hAnsi="宋体"/>
          <w:color w:val="auto"/>
          <w:sz w:val="24"/>
          <w:highlight w:val="none"/>
          <w:lang w:val="en-GB"/>
        </w:rPr>
        <w:t>文件应包含正本、副本、相对应的电子文档，每一份</w:t>
      </w:r>
      <w:r>
        <w:rPr>
          <w:rFonts w:hint="eastAsia" w:ascii="宋体" w:hAnsi="宋体"/>
          <w:color w:val="auto"/>
          <w:sz w:val="24"/>
          <w:highlight w:val="none"/>
          <w:lang w:val="en-GB" w:eastAsia="zh-CN"/>
        </w:rPr>
        <w:t>竞投</w:t>
      </w:r>
      <w:r>
        <w:rPr>
          <w:rFonts w:hint="eastAsia" w:ascii="宋体" w:hAnsi="宋体"/>
          <w:color w:val="auto"/>
          <w:sz w:val="24"/>
          <w:highlight w:val="none"/>
          <w:lang w:val="en-GB"/>
        </w:rPr>
        <w:t>文件上应明确注明</w:t>
      </w:r>
      <w:r>
        <w:rPr>
          <w:rFonts w:hint="eastAsia" w:ascii="宋体"/>
          <w:color w:val="auto"/>
          <w:sz w:val="24"/>
          <w:highlight w:val="none"/>
          <w:lang w:val="en-GB"/>
        </w:rPr>
        <w:t>“</w:t>
      </w:r>
      <w:r>
        <w:rPr>
          <w:rFonts w:hint="eastAsia" w:ascii="宋体" w:hAnsi="宋体"/>
          <w:color w:val="auto"/>
          <w:sz w:val="24"/>
          <w:highlight w:val="none"/>
          <w:lang w:val="en-GB"/>
        </w:rPr>
        <w:t>正本</w:t>
      </w:r>
      <w:r>
        <w:rPr>
          <w:rFonts w:hint="eastAsia" w:ascii="宋体"/>
          <w:color w:val="auto"/>
          <w:sz w:val="24"/>
          <w:highlight w:val="none"/>
          <w:lang w:val="en-GB"/>
        </w:rPr>
        <w:t>”</w:t>
      </w:r>
      <w:r>
        <w:rPr>
          <w:rFonts w:hint="eastAsia" w:ascii="宋体" w:hAnsi="宋体"/>
          <w:color w:val="auto"/>
          <w:sz w:val="24"/>
          <w:highlight w:val="none"/>
          <w:lang w:val="en-GB"/>
        </w:rPr>
        <w:t>或</w:t>
      </w:r>
      <w:r>
        <w:rPr>
          <w:rFonts w:hint="eastAsia" w:ascii="宋体"/>
          <w:color w:val="auto"/>
          <w:sz w:val="24"/>
          <w:highlight w:val="none"/>
          <w:lang w:val="en-GB"/>
        </w:rPr>
        <w:t>“</w:t>
      </w:r>
      <w:r>
        <w:rPr>
          <w:rFonts w:hint="eastAsia" w:ascii="宋体" w:hAnsi="宋体"/>
          <w:color w:val="auto"/>
          <w:sz w:val="24"/>
          <w:highlight w:val="none"/>
          <w:lang w:val="en-GB"/>
        </w:rPr>
        <w:t>副本</w:t>
      </w:r>
      <w:r>
        <w:rPr>
          <w:rFonts w:hint="eastAsia" w:ascii="宋体"/>
          <w:color w:val="auto"/>
          <w:sz w:val="24"/>
          <w:highlight w:val="none"/>
          <w:lang w:val="en-GB"/>
        </w:rPr>
        <w:t>”</w:t>
      </w:r>
      <w:r>
        <w:rPr>
          <w:rFonts w:hint="eastAsia" w:ascii="宋体" w:hAnsi="宋体"/>
          <w:color w:val="auto"/>
          <w:sz w:val="24"/>
          <w:highlight w:val="none"/>
          <w:lang w:val="en-GB"/>
        </w:rPr>
        <w:t>字样，“电子文档”（光盘）表面须标明</w:t>
      </w:r>
      <w:r>
        <w:rPr>
          <w:rFonts w:hint="eastAsia" w:ascii="宋体" w:hAnsi="宋体"/>
          <w:color w:val="auto"/>
          <w:sz w:val="24"/>
          <w:highlight w:val="none"/>
          <w:lang w:val="en-GB" w:eastAsia="zh-CN"/>
        </w:rPr>
        <w:t>投标人</w:t>
      </w:r>
      <w:r>
        <w:rPr>
          <w:rFonts w:hint="eastAsia" w:ascii="宋体" w:hAnsi="宋体"/>
          <w:color w:val="auto"/>
          <w:sz w:val="24"/>
          <w:highlight w:val="none"/>
          <w:lang w:val="en-GB"/>
        </w:rPr>
        <w:t>名称，并</w:t>
      </w:r>
      <w:r>
        <w:rPr>
          <w:rFonts w:hint="eastAsia" w:ascii="宋体" w:hAnsi="宋体"/>
          <w:b/>
          <w:color w:val="auto"/>
          <w:sz w:val="24"/>
          <w:highlight w:val="none"/>
          <w:lang w:val="en-GB"/>
        </w:rPr>
        <w:t>应将上述资料密封在同一密封包中</w:t>
      </w:r>
      <w:r>
        <w:rPr>
          <w:rFonts w:hint="eastAsia" w:ascii="宋体" w:hAnsi="宋体"/>
          <w:color w:val="auto"/>
          <w:sz w:val="24"/>
          <w:highlight w:val="none"/>
          <w:lang w:val="en-GB"/>
        </w:rPr>
        <w:t>，若上述资料确实无法密封在同一密封包中，则可按实际情况分开密封，但须在密封包装上标明密封内容。密封各文件资料时，应在密封包装的封口处加盖</w:t>
      </w:r>
      <w:r>
        <w:rPr>
          <w:rFonts w:hint="eastAsia" w:ascii="宋体" w:hAnsi="宋体"/>
          <w:color w:val="auto"/>
          <w:sz w:val="24"/>
          <w:highlight w:val="none"/>
          <w:lang w:val="en-GB" w:eastAsia="zh-CN"/>
        </w:rPr>
        <w:t>投标人</w:t>
      </w:r>
      <w:r>
        <w:rPr>
          <w:rFonts w:hint="eastAsia" w:ascii="宋体" w:hAnsi="宋体"/>
          <w:color w:val="auto"/>
          <w:sz w:val="24"/>
          <w:highlight w:val="none"/>
          <w:lang w:val="en-GB"/>
        </w:rPr>
        <w:t>公章，同时</w:t>
      </w:r>
      <w:r>
        <w:rPr>
          <w:rFonts w:hint="eastAsia" w:hAnsi="宋体"/>
          <w:color w:val="auto"/>
          <w:sz w:val="24"/>
          <w:highlight w:val="none"/>
          <w:lang w:val="en-GB" w:eastAsia="zh-CN"/>
        </w:rPr>
        <w:t>资格审查</w:t>
      </w:r>
      <w:r>
        <w:rPr>
          <w:rFonts w:hint="eastAsia" w:ascii="宋体" w:hAnsi="宋体"/>
          <w:color w:val="auto"/>
          <w:sz w:val="24"/>
          <w:highlight w:val="none"/>
          <w:lang w:val="en-GB"/>
        </w:rPr>
        <w:t>文件应在规定时间内递交。</w:t>
      </w:r>
    </w:p>
    <w:p w14:paraId="69B996CC">
      <w:pPr>
        <w:numPr>
          <w:ilvl w:val="0"/>
          <w:numId w:val="0"/>
        </w:numPr>
        <w:tabs>
          <w:tab w:val="left" w:pos="540"/>
        </w:tabs>
        <w:spacing w:line="360" w:lineRule="auto"/>
        <w:ind w:left="480" w:hanging="480" w:hangingChars="200"/>
        <w:rPr>
          <w:color w:val="auto"/>
          <w:sz w:val="24"/>
          <w:highlight w:val="none"/>
          <w:lang w:val="en-GB"/>
        </w:rPr>
      </w:pPr>
      <w:r>
        <w:rPr>
          <w:rFonts w:hint="eastAsia" w:ascii="宋体" w:hAnsi="宋体"/>
          <w:color w:val="auto"/>
          <w:sz w:val="24"/>
          <w:highlight w:val="none"/>
          <w:lang w:val="en-US" w:eastAsia="zh-CN"/>
        </w:rPr>
        <w:t>11.11</w:t>
      </w:r>
      <w:r>
        <w:rPr>
          <w:rFonts w:hint="eastAsia" w:ascii="宋体" w:hAnsi="宋体"/>
          <w:color w:val="auto"/>
          <w:sz w:val="24"/>
          <w:highlight w:val="none"/>
          <w:lang w:val="en-GB"/>
        </w:rPr>
        <w:t>一旦</w:t>
      </w:r>
      <w:r>
        <w:rPr>
          <w:rFonts w:hint="eastAsia" w:hAnsi="宋体"/>
          <w:color w:val="auto"/>
          <w:sz w:val="24"/>
          <w:highlight w:val="none"/>
          <w:lang w:val="en-GB" w:eastAsia="zh-CN"/>
        </w:rPr>
        <w:t>资格审查</w:t>
      </w:r>
      <w:r>
        <w:rPr>
          <w:rFonts w:hint="eastAsia" w:ascii="宋体" w:hAnsi="宋体"/>
          <w:color w:val="auto"/>
          <w:sz w:val="24"/>
          <w:highlight w:val="none"/>
          <w:lang w:val="en-GB"/>
        </w:rPr>
        <w:t>文件的正本和副本及电子文档内容有差异，均以正本为准。</w:t>
      </w:r>
    </w:p>
    <w:p w14:paraId="62ABE422">
      <w:pPr>
        <w:numPr>
          <w:ilvl w:val="0"/>
          <w:numId w:val="0"/>
        </w:numPr>
        <w:tabs>
          <w:tab w:val="left" w:pos="540"/>
        </w:tabs>
        <w:spacing w:line="360" w:lineRule="auto"/>
        <w:ind w:left="480" w:hanging="482" w:hangingChars="200"/>
        <w:rPr>
          <w:rFonts w:hint="eastAsia" w:asciiTheme="minorEastAsia" w:hAnsiTheme="minorEastAsia" w:eastAsiaTheme="minorEastAsia" w:cstheme="minorEastAsia"/>
          <w:b/>
          <w:color w:val="auto"/>
          <w:sz w:val="24"/>
          <w:highlight w:val="none"/>
          <w:lang w:val="en-GB"/>
        </w:rPr>
      </w:pPr>
      <w:r>
        <w:rPr>
          <w:rFonts w:hint="eastAsia" w:asciiTheme="minorEastAsia" w:hAnsiTheme="minorEastAsia" w:eastAsiaTheme="minorEastAsia" w:cstheme="minorEastAsia"/>
          <w:b/>
          <w:color w:val="auto"/>
          <w:sz w:val="24"/>
          <w:highlight w:val="none"/>
          <w:lang w:val="en-US" w:eastAsia="zh-CN"/>
        </w:rPr>
        <w:t>11.12</w:t>
      </w:r>
      <w:r>
        <w:rPr>
          <w:rFonts w:hint="eastAsia" w:asciiTheme="minorEastAsia" w:hAnsiTheme="minorEastAsia" w:eastAsiaTheme="minorEastAsia" w:cstheme="minorEastAsia"/>
          <w:b/>
          <w:color w:val="auto"/>
          <w:sz w:val="24"/>
          <w:highlight w:val="none"/>
          <w:lang w:val="en-GB"/>
        </w:rPr>
        <w:t>所有密封文件封套正面统一按“文件包装袋封面”格式填写标贴。</w:t>
      </w:r>
    </w:p>
    <w:p w14:paraId="1712C151">
      <w:pPr>
        <w:numPr>
          <w:ilvl w:val="0"/>
          <w:numId w:val="0"/>
        </w:numPr>
        <w:tabs>
          <w:tab w:val="left" w:pos="540"/>
        </w:tabs>
        <w:spacing w:line="360" w:lineRule="auto"/>
        <w:ind w:left="480" w:hanging="480" w:hangingChars="200"/>
        <w:rPr>
          <w:color w:val="auto"/>
          <w:sz w:val="24"/>
          <w:highlight w:val="none"/>
          <w:lang w:val="en-GB"/>
        </w:rPr>
      </w:pPr>
      <w:r>
        <w:rPr>
          <w:rFonts w:hint="eastAsia" w:asciiTheme="minorEastAsia" w:hAnsiTheme="minorEastAsia" w:eastAsiaTheme="minorEastAsia" w:cstheme="minorEastAsia"/>
          <w:color w:val="auto"/>
          <w:sz w:val="24"/>
          <w:highlight w:val="none"/>
          <w:lang w:val="en-US" w:eastAsia="zh-CN"/>
        </w:rPr>
        <w:t>11.13</w:t>
      </w:r>
      <w:r>
        <w:rPr>
          <w:rFonts w:hint="eastAsia" w:asciiTheme="minorEastAsia" w:hAnsiTheme="minorEastAsia" w:eastAsiaTheme="minorEastAsia" w:cstheme="minorEastAsia"/>
          <w:color w:val="auto"/>
          <w:sz w:val="24"/>
          <w:highlight w:val="none"/>
          <w:lang w:val="en-GB" w:eastAsia="zh-CN"/>
        </w:rPr>
        <w:t>招标</w:t>
      </w:r>
      <w:r>
        <w:rPr>
          <w:rFonts w:hint="eastAsia" w:asciiTheme="minorEastAsia" w:hAnsiTheme="minorEastAsia" w:eastAsiaTheme="minorEastAsia" w:cstheme="minorEastAsia"/>
          <w:b w:val="0"/>
          <w:bCs/>
          <w:color w:val="auto"/>
          <w:sz w:val="24"/>
          <w:highlight w:val="none"/>
          <w:lang w:val="en-GB" w:eastAsia="zh-CN"/>
        </w:rPr>
        <w:t>代理</w:t>
      </w:r>
      <w:r>
        <w:rPr>
          <w:rFonts w:hint="eastAsia" w:asciiTheme="minorEastAsia" w:hAnsiTheme="minorEastAsia" w:eastAsiaTheme="minorEastAsia" w:cstheme="minorEastAsia"/>
          <w:color w:val="auto"/>
          <w:sz w:val="24"/>
          <w:highlight w:val="none"/>
          <w:lang w:val="en-GB" w:eastAsia="zh-CN"/>
        </w:rPr>
        <w:t>机构</w:t>
      </w:r>
      <w:r>
        <w:rPr>
          <w:rFonts w:hint="eastAsia" w:asciiTheme="minorEastAsia" w:hAnsiTheme="minorEastAsia" w:eastAsiaTheme="minorEastAsia" w:cstheme="minorEastAsia"/>
          <w:color w:val="auto"/>
          <w:sz w:val="24"/>
          <w:highlight w:val="none"/>
          <w:lang w:val="en-GB"/>
        </w:rPr>
        <w:t>拒绝接</w:t>
      </w:r>
      <w:r>
        <w:rPr>
          <w:rFonts w:hint="eastAsia" w:hAnsi="宋体"/>
          <w:color w:val="auto"/>
          <w:sz w:val="24"/>
          <w:highlight w:val="none"/>
          <w:lang w:val="en-GB"/>
        </w:rPr>
        <w:t>受</w:t>
      </w:r>
      <w:r>
        <w:rPr>
          <w:rFonts w:hint="eastAsia" w:hAnsi="宋体"/>
          <w:color w:val="auto"/>
          <w:sz w:val="24"/>
          <w:highlight w:val="none"/>
          <w:lang w:val="en-GB" w:eastAsia="zh-CN"/>
        </w:rPr>
        <w:t>竞投</w:t>
      </w:r>
      <w:r>
        <w:rPr>
          <w:rFonts w:hint="eastAsia" w:hAnsi="宋体"/>
          <w:color w:val="auto"/>
          <w:sz w:val="24"/>
          <w:highlight w:val="none"/>
          <w:lang w:val="en-GB"/>
        </w:rPr>
        <w:t>的情形：</w:t>
      </w:r>
    </w:p>
    <w:p w14:paraId="7D8F57BA">
      <w:pPr>
        <w:numPr>
          <w:ilvl w:val="0"/>
          <w:numId w:val="23"/>
        </w:numPr>
        <w:tabs>
          <w:tab w:val="left" w:pos="540"/>
          <w:tab w:val="clear" w:pos="420"/>
        </w:tabs>
        <w:spacing w:line="374" w:lineRule="auto"/>
        <w:ind w:left="1260" w:hanging="720"/>
        <w:rPr>
          <w:rFonts w:ascii="宋体"/>
          <w:color w:val="auto"/>
          <w:sz w:val="24"/>
          <w:highlight w:val="none"/>
          <w:lang w:val="en-GB"/>
        </w:rPr>
      </w:pPr>
      <w:r>
        <w:rPr>
          <w:rFonts w:hint="eastAsia" w:ascii="宋体" w:hAnsi="宋体"/>
          <w:color w:val="auto"/>
          <w:sz w:val="24"/>
          <w:highlight w:val="none"/>
          <w:lang w:val="en-GB"/>
        </w:rPr>
        <w:t>以电报、电话传真形式</w:t>
      </w:r>
      <w:r>
        <w:rPr>
          <w:rFonts w:hint="eastAsia" w:ascii="宋体" w:hAnsi="宋体"/>
          <w:color w:val="auto"/>
          <w:sz w:val="24"/>
          <w:highlight w:val="none"/>
          <w:lang w:val="en-GB" w:eastAsia="zh-CN"/>
        </w:rPr>
        <w:t>竞投</w:t>
      </w:r>
      <w:r>
        <w:rPr>
          <w:rFonts w:hint="eastAsia" w:ascii="宋体" w:hAnsi="宋体"/>
          <w:color w:val="auto"/>
          <w:sz w:val="24"/>
          <w:highlight w:val="none"/>
          <w:lang w:val="en-GB"/>
        </w:rPr>
        <w:t>；</w:t>
      </w:r>
    </w:p>
    <w:p w14:paraId="33B7DA24">
      <w:pPr>
        <w:numPr>
          <w:ilvl w:val="0"/>
          <w:numId w:val="23"/>
        </w:numPr>
        <w:tabs>
          <w:tab w:val="left" w:pos="540"/>
          <w:tab w:val="clear" w:pos="420"/>
        </w:tabs>
        <w:spacing w:line="374" w:lineRule="auto"/>
        <w:ind w:left="1260" w:hanging="720"/>
        <w:rPr>
          <w:rFonts w:ascii="宋体"/>
          <w:color w:val="auto"/>
          <w:sz w:val="24"/>
          <w:highlight w:val="none"/>
          <w:lang w:val="en-GB"/>
        </w:rPr>
      </w:pPr>
      <w:r>
        <w:rPr>
          <w:rFonts w:hint="eastAsia" w:ascii="宋体" w:hAnsi="宋体"/>
          <w:color w:val="auto"/>
          <w:sz w:val="24"/>
          <w:highlight w:val="none"/>
          <w:lang w:val="en-GB"/>
        </w:rPr>
        <w:t>密封、数量、规格、册装不合要求或逾期提交的</w:t>
      </w:r>
      <w:r>
        <w:rPr>
          <w:rFonts w:hint="eastAsia" w:hAnsi="宋体"/>
          <w:color w:val="auto"/>
          <w:sz w:val="24"/>
          <w:highlight w:val="none"/>
          <w:lang w:val="en-GB" w:eastAsia="zh-CN"/>
        </w:rPr>
        <w:t>资格审查</w:t>
      </w:r>
      <w:r>
        <w:rPr>
          <w:rFonts w:hint="eastAsia" w:ascii="宋体" w:hAnsi="宋体"/>
          <w:color w:val="auto"/>
          <w:sz w:val="24"/>
          <w:highlight w:val="none"/>
          <w:lang w:val="en-GB"/>
        </w:rPr>
        <w:t>文件；</w:t>
      </w:r>
    </w:p>
    <w:p w14:paraId="4605B761">
      <w:pPr>
        <w:numPr>
          <w:ilvl w:val="0"/>
          <w:numId w:val="23"/>
        </w:numPr>
        <w:tabs>
          <w:tab w:val="left" w:pos="540"/>
          <w:tab w:val="clear" w:pos="420"/>
        </w:tabs>
        <w:spacing w:line="374" w:lineRule="auto"/>
        <w:ind w:left="840" w:hanging="300"/>
        <w:rPr>
          <w:rFonts w:ascii="宋体"/>
          <w:color w:val="auto"/>
          <w:sz w:val="24"/>
          <w:highlight w:val="none"/>
          <w:lang w:val="en-GB"/>
        </w:rPr>
      </w:pPr>
      <w:r>
        <w:rPr>
          <w:rFonts w:hint="eastAsia" w:ascii="宋体" w:hAnsi="宋体"/>
          <w:color w:val="auto"/>
          <w:sz w:val="24"/>
          <w:highlight w:val="none"/>
          <w:lang w:val="en-GB"/>
        </w:rPr>
        <w:t>未按要求</w:t>
      </w:r>
      <w:r>
        <w:rPr>
          <w:rFonts w:hint="eastAsia" w:ascii="宋体" w:hAnsi="宋体"/>
          <w:color w:val="auto"/>
          <w:sz w:val="24"/>
          <w:highlight w:val="none"/>
        </w:rPr>
        <w:t>购买</w:t>
      </w:r>
      <w:r>
        <w:rPr>
          <w:rFonts w:hint="eastAsia" w:ascii="宋体" w:hAnsi="宋体"/>
          <w:color w:val="auto"/>
          <w:sz w:val="24"/>
          <w:highlight w:val="none"/>
          <w:lang w:eastAsia="zh-CN"/>
        </w:rPr>
        <w:t>竞投文件</w:t>
      </w:r>
      <w:r>
        <w:rPr>
          <w:rFonts w:hint="eastAsia" w:ascii="宋体" w:hAnsi="宋体"/>
          <w:color w:val="auto"/>
          <w:sz w:val="24"/>
          <w:highlight w:val="none"/>
          <w:lang w:val="en-GB"/>
        </w:rPr>
        <w:t>或已</w:t>
      </w:r>
      <w:r>
        <w:rPr>
          <w:rFonts w:hint="eastAsia" w:ascii="宋体" w:hAnsi="宋体"/>
          <w:color w:val="auto"/>
          <w:sz w:val="24"/>
          <w:highlight w:val="none"/>
        </w:rPr>
        <w:t>购买</w:t>
      </w:r>
      <w:r>
        <w:rPr>
          <w:rFonts w:hint="eastAsia" w:ascii="宋体" w:hAnsi="宋体"/>
          <w:color w:val="auto"/>
          <w:sz w:val="24"/>
          <w:highlight w:val="none"/>
          <w:lang w:eastAsia="zh-CN"/>
        </w:rPr>
        <w:t>竞投文件</w:t>
      </w:r>
      <w:r>
        <w:rPr>
          <w:rFonts w:hint="eastAsia" w:ascii="宋体" w:hAnsi="宋体"/>
          <w:color w:val="auto"/>
          <w:sz w:val="24"/>
          <w:highlight w:val="none"/>
          <w:lang w:val="en-GB"/>
        </w:rPr>
        <w:t>但不按时交纳足额</w:t>
      </w:r>
      <w:r>
        <w:rPr>
          <w:rFonts w:hint="eastAsia" w:ascii="宋体" w:hAnsi="宋体"/>
          <w:color w:val="auto"/>
          <w:sz w:val="24"/>
          <w:highlight w:val="none"/>
          <w:lang w:val="en-GB" w:eastAsia="zh-CN"/>
        </w:rPr>
        <w:t>竞投</w:t>
      </w:r>
      <w:r>
        <w:rPr>
          <w:rFonts w:hint="eastAsia" w:ascii="宋体" w:hAnsi="宋体"/>
          <w:color w:val="auto"/>
          <w:sz w:val="24"/>
          <w:highlight w:val="none"/>
          <w:lang w:val="en-GB"/>
        </w:rPr>
        <w:t>保证金；</w:t>
      </w:r>
    </w:p>
    <w:p w14:paraId="0A9E4E6E">
      <w:pPr>
        <w:numPr>
          <w:ilvl w:val="0"/>
          <w:numId w:val="23"/>
        </w:numPr>
        <w:tabs>
          <w:tab w:val="left" w:pos="540"/>
          <w:tab w:val="clear" w:pos="420"/>
        </w:tabs>
        <w:spacing w:line="374" w:lineRule="auto"/>
        <w:ind w:left="1260" w:hanging="720"/>
        <w:rPr>
          <w:rFonts w:ascii="宋体"/>
          <w:color w:val="auto"/>
          <w:sz w:val="24"/>
          <w:highlight w:val="none"/>
          <w:lang w:val="en-GB"/>
        </w:rPr>
      </w:pPr>
      <w:r>
        <w:rPr>
          <w:rFonts w:hint="eastAsia" w:ascii="宋体" w:hAnsi="宋体"/>
          <w:color w:val="auto"/>
          <w:sz w:val="24"/>
          <w:highlight w:val="none"/>
          <w:lang w:val="zh-CN"/>
        </w:rPr>
        <w:t>投标人代表未准时出席开标会或未按要求签到的。</w:t>
      </w:r>
    </w:p>
    <w:p w14:paraId="27347469">
      <w:pPr>
        <w:numPr>
          <w:ilvl w:val="0"/>
          <w:numId w:val="20"/>
        </w:numPr>
        <w:tabs>
          <w:tab w:val="left" w:pos="540"/>
        </w:tabs>
        <w:spacing w:before="120" w:beforeLines="50" w:line="374" w:lineRule="auto"/>
        <w:ind w:left="420" w:leftChars="0" w:hanging="420" w:firstLineChars="0"/>
        <w:rPr>
          <w:rFonts w:ascii="宋体"/>
          <w:b/>
          <w:color w:val="auto"/>
          <w:sz w:val="24"/>
          <w:highlight w:val="none"/>
          <w:lang w:val="zh-CN"/>
        </w:rPr>
      </w:pPr>
      <w:r>
        <w:rPr>
          <w:rFonts w:hint="eastAsia" w:ascii="宋体" w:hAnsi="宋体"/>
          <w:b/>
          <w:color w:val="auto"/>
          <w:sz w:val="24"/>
          <w:highlight w:val="none"/>
          <w:lang w:val="zh-CN"/>
        </w:rPr>
        <w:t>竞投报价</w:t>
      </w:r>
    </w:p>
    <w:p w14:paraId="5752F1FE">
      <w:pPr>
        <w:numPr>
          <w:ilvl w:val="0"/>
          <w:numId w:val="0"/>
        </w:numPr>
        <w:tabs>
          <w:tab w:val="left" w:pos="540"/>
        </w:tabs>
        <w:spacing w:line="360" w:lineRule="auto"/>
        <w:ind w:left="480" w:hanging="480" w:hangingChars="200"/>
        <w:rPr>
          <w:rFonts w:hint="eastAsia" w:ascii="宋体" w:hAnsi="宋体"/>
          <w:color w:val="auto"/>
          <w:sz w:val="24"/>
          <w:highlight w:val="none"/>
          <w:lang w:val="en-GB"/>
        </w:rPr>
      </w:pPr>
      <w:r>
        <w:rPr>
          <w:rFonts w:hint="eastAsia" w:ascii="宋体" w:hAnsi="宋体"/>
          <w:color w:val="auto"/>
          <w:sz w:val="24"/>
          <w:highlight w:val="none"/>
          <w:lang w:val="en-US" w:eastAsia="zh-CN"/>
        </w:rPr>
        <w:t>12.1</w:t>
      </w:r>
      <w:r>
        <w:rPr>
          <w:rFonts w:hint="eastAsia" w:ascii="宋体" w:hAnsi="宋体"/>
          <w:color w:val="auto"/>
          <w:sz w:val="24"/>
          <w:highlight w:val="none"/>
          <w:lang w:val="en-GB"/>
        </w:rPr>
        <w:t>本次</w:t>
      </w:r>
      <w:r>
        <w:rPr>
          <w:rFonts w:hint="eastAsia" w:ascii="宋体" w:hAnsi="宋体"/>
          <w:color w:val="auto"/>
          <w:sz w:val="24"/>
          <w:highlight w:val="none"/>
          <w:lang w:val="en-US" w:eastAsia="zh-CN"/>
        </w:rPr>
        <w:t>竞投</w:t>
      </w:r>
      <w:r>
        <w:rPr>
          <w:rFonts w:hint="eastAsia" w:ascii="宋体" w:hAnsi="宋体"/>
          <w:color w:val="auto"/>
          <w:sz w:val="24"/>
          <w:highlight w:val="none"/>
          <w:lang w:val="en-GB"/>
        </w:rPr>
        <w:t>必须对项目要求的全部内容进行报价，</w:t>
      </w:r>
      <w:r>
        <w:rPr>
          <w:rFonts w:hint="eastAsia" w:ascii="宋体" w:hAnsi="宋体"/>
          <w:color w:val="auto"/>
          <w:sz w:val="24"/>
          <w:highlight w:val="none"/>
          <w:lang w:val="en-GB" w:eastAsia="zh-CN"/>
        </w:rPr>
        <w:t>经审查合格的投标人，只要确认领取本项目报价书参加竞投，即视为完全响应竞投文件的全部内容</w:t>
      </w:r>
      <w:r>
        <w:rPr>
          <w:rFonts w:hint="eastAsia" w:ascii="宋体" w:hAnsi="宋体"/>
          <w:color w:val="auto"/>
          <w:sz w:val="24"/>
          <w:highlight w:val="none"/>
          <w:lang w:val="en-GB"/>
        </w:rPr>
        <w:t>。</w:t>
      </w:r>
    </w:p>
    <w:p w14:paraId="1A4B2B0B">
      <w:pPr>
        <w:numPr>
          <w:ilvl w:val="0"/>
          <w:numId w:val="0"/>
        </w:numPr>
        <w:tabs>
          <w:tab w:val="left" w:pos="540"/>
        </w:tabs>
        <w:spacing w:line="360" w:lineRule="auto"/>
        <w:ind w:left="480" w:hanging="480" w:hangingChars="200"/>
        <w:rPr>
          <w:rFonts w:hint="eastAsia" w:ascii="宋体" w:hAnsi="宋体"/>
          <w:color w:val="auto"/>
          <w:sz w:val="24"/>
          <w:highlight w:val="none"/>
          <w:lang w:val="en-US" w:eastAsia="zh-CN"/>
        </w:rPr>
      </w:pPr>
      <w:r>
        <w:rPr>
          <w:rFonts w:hint="eastAsia" w:ascii="宋体" w:hAnsi="宋体"/>
          <w:color w:val="auto"/>
          <w:sz w:val="24"/>
          <w:highlight w:val="none"/>
          <w:lang w:val="en-US" w:eastAsia="zh-CN"/>
        </w:rPr>
        <w:t>12.1.1本次竞投会采取填写报价书和公布报价的方式进行。竞投人填好的报价书必须由法定代表人或授权代表填写，签名确认；报价书应密封，在密封袋上写明投标人名称，在密封处由法人或授权代表人签名并盖手指摸。报价书一经递交，不得撤回或修改。</w:t>
      </w:r>
    </w:p>
    <w:p w14:paraId="4E829D88">
      <w:pPr>
        <w:numPr>
          <w:ilvl w:val="0"/>
          <w:numId w:val="0"/>
        </w:numPr>
        <w:tabs>
          <w:tab w:val="left" w:pos="540"/>
        </w:tabs>
        <w:spacing w:line="360" w:lineRule="auto"/>
        <w:ind w:left="480" w:hanging="480" w:hangingChars="200"/>
        <w:rPr>
          <w:rFonts w:hint="default" w:ascii="宋体" w:hAnsi="宋体"/>
          <w:color w:val="auto"/>
          <w:sz w:val="24"/>
          <w:highlight w:val="none"/>
          <w:lang w:val="en-US" w:eastAsia="zh-CN"/>
        </w:rPr>
      </w:pPr>
      <w:r>
        <w:rPr>
          <w:rFonts w:hint="eastAsia" w:ascii="宋体" w:hAnsi="宋体"/>
          <w:color w:val="auto"/>
          <w:sz w:val="24"/>
          <w:highlight w:val="none"/>
          <w:lang w:val="en-US" w:eastAsia="zh-CN"/>
        </w:rPr>
        <w:t>12.1.2本项目所报价格不得低于本项目设定的最低限价，若报价金额低于设定的最低限价，则报价无效；若报价金额不低于本项目设定的最低限价，则采取价高者得的原则确定中标人。若出现最高报价相同的，按提交报价书的先后顺序确定竞得人（即最先提交报价书者为中标人）。</w:t>
      </w:r>
    </w:p>
    <w:p w14:paraId="0245A24F">
      <w:pPr>
        <w:numPr>
          <w:ilvl w:val="0"/>
          <w:numId w:val="0"/>
        </w:numPr>
        <w:tabs>
          <w:tab w:val="left" w:pos="540"/>
        </w:tabs>
        <w:spacing w:line="360" w:lineRule="auto"/>
        <w:ind w:left="480" w:hanging="480" w:hangingChars="200"/>
        <w:rPr>
          <w:rFonts w:hint="eastAsia" w:ascii="宋体" w:hAnsi="宋体"/>
          <w:color w:val="auto"/>
          <w:sz w:val="24"/>
          <w:highlight w:val="none"/>
          <w:lang w:val="en-GB"/>
        </w:rPr>
      </w:pPr>
      <w:r>
        <w:rPr>
          <w:rFonts w:hint="eastAsia" w:ascii="宋体" w:hAnsi="宋体"/>
          <w:color w:val="auto"/>
          <w:sz w:val="24"/>
          <w:highlight w:val="none"/>
          <w:lang w:val="en-US" w:eastAsia="zh-CN"/>
        </w:rPr>
        <w:t>12.2</w:t>
      </w:r>
      <w:r>
        <w:rPr>
          <w:rFonts w:hint="eastAsia" w:ascii="宋体" w:hAnsi="宋体"/>
          <w:color w:val="auto"/>
          <w:sz w:val="24"/>
          <w:highlight w:val="none"/>
          <w:lang w:val="en-GB" w:eastAsia="zh-CN"/>
        </w:rPr>
        <w:t>竞投</w:t>
      </w:r>
      <w:r>
        <w:rPr>
          <w:rFonts w:hint="eastAsia" w:ascii="宋体" w:hAnsi="宋体"/>
          <w:color w:val="auto"/>
          <w:sz w:val="24"/>
          <w:highlight w:val="none"/>
          <w:lang w:val="en-GB"/>
        </w:rPr>
        <w:t>总价是以</w:t>
      </w:r>
      <w:r>
        <w:rPr>
          <w:rFonts w:hint="eastAsia" w:ascii="宋体" w:hAnsi="宋体"/>
          <w:color w:val="auto"/>
          <w:sz w:val="24"/>
          <w:highlight w:val="none"/>
          <w:lang w:val="en-GB" w:eastAsia="zh-CN"/>
        </w:rPr>
        <w:t>投标人</w:t>
      </w:r>
      <w:r>
        <w:rPr>
          <w:rFonts w:hint="eastAsia" w:ascii="宋体" w:hAnsi="宋体"/>
          <w:color w:val="auto"/>
          <w:sz w:val="24"/>
          <w:highlight w:val="none"/>
          <w:lang w:val="en-GB"/>
        </w:rPr>
        <w:t>可独立履行本项目合同义务，并在通过准确核算后，可满足预期实施效果、验收标准和符合自身合法利益的前提下所作出的综合性合理报价，对在</w:t>
      </w:r>
      <w:r>
        <w:rPr>
          <w:rFonts w:hint="eastAsia" w:ascii="宋体" w:hAnsi="宋体"/>
          <w:color w:val="auto"/>
          <w:sz w:val="24"/>
          <w:highlight w:val="none"/>
          <w:lang w:val="en-GB" w:eastAsia="zh-CN"/>
        </w:rPr>
        <w:t>竞投</w:t>
      </w:r>
      <w:r>
        <w:rPr>
          <w:rFonts w:hint="eastAsia" w:ascii="宋体" w:hAnsi="宋体"/>
          <w:color w:val="auto"/>
          <w:sz w:val="24"/>
          <w:highlight w:val="none"/>
          <w:lang w:val="en-GB"/>
        </w:rPr>
        <w:t>文件和合同书中未有明确列述、设计遗漏失误、市场剧变、汇率、利率因素、应预见和不可预见的费用等均视为已完全考虑到并包括在</w:t>
      </w:r>
      <w:r>
        <w:rPr>
          <w:rFonts w:hint="eastAsia" w:ascii="宋体" w:hAnsi="宋体"/>
          <w:color w:val="auto"/>
          <w:sz w:val="24"/>
          <w:highlight w:val="none"/>
          <w:lang w:val="en-GB" w:eastAsia="zh-CN"/>
        </w:rPr>
        <w:t>竞投</w:t>
      </w:r>
      <w:r>
        <w:rPr>
          <w:rFonts w:hint="eastAsia" w:ascii="宋体" w:hAnsi="宋体"/>
          <w:color w:val="auto"/>
          <w:sz w:val="24"/>
          <w:highlight w:val="none"/>
          <w:lang w:val="en-GB"/>
        </w:rPr>
        <w:t>总价之内。</w:t>
      </w:r>
    </w:p>
    <w:p w14:paraId="3C574806">
      <w:pPr>
        <w:numPr>
          <w:ilvl w:val="0"/>
          <w:numId w:val="0"/>
        </w:numPr>
        <w:tabs>
          <w:tab w:val="left" w:pos="540"/>
        </w:tabs>
        <w:spacing w:line="360" w:lineRule="auto"/>
        <w:ind w:left="480" w:hanging="480" w:hangingChars="200"/>
        <w:rPr>
          <w:rFonts w:hint="eastAsia" w:ascii="宋体" w:hAnsi="宋体"/>
          <w:color w:val="auto"/>
          <w:sz w:val="24"/>
          <w:highlight w:val="none"/>
          <w:lang w:val="en-GB"/>
        </w:rPr>
      </w:pPr>
      <w:r>
        <w:rPr>
          <w:rFonts w:hint="eastAsia" w:ascii="宋体" w:hAnsi="宋体"/>
          <w:color w:val="auto"/>
          <w:sz w:val="24"/>
          <w:highlight w:val="none"/>
          <w:lang w:val="en-US" w:eastAsia="zh-CN"/>
        </w:rPr>
        <w:t>12.3</w:t>
      </w:r>
      <w:r>
        <w:rPr>
          <w:rFonts w:hint="eastAsia" w:ascii="宋体" w:hAnsi="宋体"/>
          <w:color w:val="auto"/>
          <w:sz w:val="24"/>
          <w:highlight w:val="none"/>
          <w:lang w:val="en-GB"/>
        </w:rPr>
        <w:t>如果</w:t>
      </w:r>
      <w:r>
        <w:rPr>
          <w:rFonts w:hint="eastAsia" w:ascii="宋体" w:hAnsi="宋体"/>
          <w:color w:val="auto"/>
          <w:sz w:val="24"/>
          <w:highlight w:val="none"/>
          <w:lang w:val="en-GB" w:eastAsia="zh-CN"/>
        </w:rPr>
        <w:t>投标人</w:t>
      </w:r>
      <w:r>
        <w:rPr>
          <w:rFonts w:hint="eastAsia" w:ascii="宋体" w:hAnsi="宋体"/>
          <w:color w:val="auto"/>
          <w:sz w:val="24"/>
          <w:highlight w:val="none"/>
          <w:lang w:val="en-GB"/>
        </w:rPr>
        <w:t>在中标并签署合同后，在提供招标范围内的服务工作中出现的任何遗漏，均由中标人免费提供，</w:t>
      </w:r>
      <w:r>
        <w:rPr>
          <w:rFonts w:hint="eastAsia" w:ascii="宋体" w:hAnsi="宋体"/>
          <w:color w:val="auto"/>
          <w:sz w:val="24"/>
          <w:highlight w:val="none"/>
          <w:lang w:val="en-GB" w:eastAsia="zh-CN"/>
        </w:rPr>
        <w:t>招标人</w:t>
      </w:r>
      <w:r>
        <w:rPr>
          <w:rFonts w:hint="eastAsia" w:ascii="宋体" w:hAnsi="宋体"/>
          <w:color w:val="auto"/>
          <w:sz w:val="24"/>
          <w:highlight w:val="none"/>
          <w:lang w:val="en-GB"/>
        </w:rPr>
        <w:t>将不再支付任何费用。</w:t>
      </w:r>
    </w:p>
    <w:p w14:paraId="12FE75F6">
      <w:pPr>
        <w:numPr>
          <w:ilvl w:val="0"/>
          <w:numId w:val="0"/>
        </w:numPr>
        <w:tabs>
          <w:tab w:val="left" w:pos="540"/>
        </w:tabs>
        <w:spacing w:line="360" w:lineRule="auto"/>
        <w:ind w:left="480" w:hanging="480" w:hangingChars="200"/>
        <w:rPr>
          <w:rFonts w:hint="eastAsia" w:ascii="宋体" w:hAnsi="宋体"/>
          <w:color w:val="auto"/>
          <w:sz w:val="24"/>
          <w:highlight w:val="none"/>
          <w:lang w:val="en-GB"/>
        </w:rPr>
      </w:pPr>
      <w:r>
        <w:rPr>
          <w:rFonts w:hint="eastAsia" w:ascii="宋体" w:hAnsi="宋体"/>
          <w:color w:val="auto"/>
          <w:sz w:val="24"/>
          <w:highlight w:val="none"/>
          <w:lang w:val="en-US" w:eastAsia="zh-CN"/>
        </w:rPr>
        <w:t>12.4</w:t>
      </w:r>
      <w:r>
        <w:rPr>
          <w:rFonts w:hint="eastAsia" w:ascii="宋体" w:hAnsi="宋体"/>
          <w:color w:val="auto"/>
          <w:sz w:val="24"/>
          <w:highlight w:val="none"/>
          <w:lang w:val="en-GB"/>
        </w:rPr>
        <w:t>合同项下，</w:t>
      </w:r>
      <w:r>
        <w:rPr>
          <w:rFonts w:hint="eastAsia" w:ascii="宋体" w:hAnsi="宋体"/>
          <w:color w:val="auto"/>
          <w:sz w:val="24"/>
          <w:highlight w:val="none"/>
          <w:lang w:val="en-GB" w:eastAsia="zh-CN"/>
        </w:rPr>
        <w:t>招标人</w:t>
      </w:r>
      <w:r>
        <w:rPr>
          <w:rFonts w:hint="eastAsia" w:ascii="宋体" w:hAnsi="宋体"/>
          <w:color w:val="auto"/>
          <w:sz w:val="24"/>
          <w:highlight w:val="none"/>
          <w:lang w:val="en-GB"/>
        </w:rPr>
        <w:t>需要的货物和附带备品、配件所需的费用，如果</w:t>
      </w:r>
      <w:r>
        <w:rPr>
          <w:rFonts w:hint="eastAsia" w:ascii="宋体" w:hAnsi="宋体"/>
          <w:color w:val="auto"/>
          <w:sz w:val="24"/>
          <w:highlight w:val="none"/>
          <w:lang w:val="en-GB" w:eastAsia="zh-CN"/>
        </w:rPr>
        <w:t>投标人</w:t>
      </w:r>
      <w:r>
        <w:rPr>
          <w:rFonts w:hint="eastAsia" w:ascii="宋体" w:hAnsi="宋体"/>
          <w:color w:val="auto"/>
          <w:sz w:val="24"/>
          <w:highlight w:val="none"/>
          <w:lang w:val="en-GB"/>
        </w:rPr>
        <w:t>是另外单独报价，且未计入</w:t>
      </w:r>
      <w:r>
        <w:rPr>
          <w:rFonts w:hint="eastAsia" w:ascii="宋体" w:hAnsi="宋体"/>
          <w:color w:val="auto"/>
          <w:sz w:val="24"/>
          <w:highlight w:val="none"/>
          <w:lang w:val="en-GB" w:eastAsia="zh-CN"/>
        </w:rPr>
        <w:t>竞投</w:t>
      </w:r>
      <w:r>
        <w:rPr>
          <w:rFonts w:hint="eastAsia" w:ascii="宋体" w:hAnsi="宋体"/>
          <w:color w:val="auto"/>
          <w:sz w:val="24"/>
          <w:highlight w:val="none"/>
          <w:lang w:val="en-GB"/>
        </w:rPr>
        <w:t>总价内的</w:t>
      </w:r>
      <w:r>
        <w:rPr>
          <w:rFonts w:hint="eastAsia" w:ascii="宋体" w:hAnsi="宋体"/>
          <w:color w:val="auto"/>
          <w:sz w:val="24"/>
          <w:highlight w:val="none"/>
          <w:lang w:val="en-GB" w:eastAsia="zh-CN"/>
        </w:rPr>
        <w:t>投标人将被取消资格</w:t>
      </w:r>
      <w:r>
        <w:rPr>
          <w:rFonts w:hint="eastAsia" w:ascii="宋体" w:hAnsi="宋体"/>
          <w:color w:val="auto"/>
          <w:sz w:val="24"/>
          <w:highlight w:val="none"/>
          <w:lang w:val="en-GB"/>
        </w:rPr>
        <w:t>。</w:t>
      </w:r>
    </w:p>
    <w:p w14:paraId="6245316B">
      <w:pPr>
        <w:numPr>
          <w:ilvl w:val="0"/>
          <w:numId w:val="0"/>
        </w:numPr>
        <w:tabs>
          <w:tab w:val="left" w:pos="540"/>
        </w:tabs>
        <w:spacing w:line="360" w:lineRule="auto"/>
        <w:ind w:left="480" w:hanging="480" w:hangingChars="200"/>
        <w:rPr>
          <w:rFonts w:hint="eastAsia" w:ascii="宋体" w:hAnsi="宋体"/>
          <w:color w:val="auto"/>
          <w:sz w:val="24"/>
          <w:highlight w:val="none"/>
          <w:lang w:val="en-GB"/>
        </w:rPr>
      </w:pPr>
      <w:r>
        <w:rPr>
          <w:rFonts w:hint="eastAsia" w:ascii="宋体" w:hAnsi="宋体"/>
          <w:color w:val="auto"/>
          <w:sz w:val="24"/>
          <w:highlight w:val="none"/>
          <w:lang w:val="en-US" w:eastAsia="zh-CN"/>
        </w:rPr>
        <w:t>12.5</w:t>
      </w:r>
      <w:r>
        <w:rPr>
          <w:rFonts w:hint="eastAsia" w:ascii="宋体" w:hAnsi="宋体"/>
          <w:color w:val="auto"/>
          <w:sz w:val="24"/>
          <w:highlight w:val="none"/>
          <w:lang w:val="en-GB" w:eastAsia="zh-CN"/>
        </w:rPr>
        <w:t>投标人</w:t>
      </w:r>
      <w:r>
        <w:rPr>
          <w:rFonts w:hint="eastAsia" w:ascii="宋体" w:hAnsi="宋体"/>
          <w:color w:val="auto"/>
          <w:sz w:val="24"/>
          <w:highlight w:val="none"/>
          <w:lang w:val="en-GB"/>
        </w:rPr>
        <w:t>应根据企业自身实力、费用指标，本项目</w:t>
      </w:r>
      <w:r>
        <w:rPr>
          <w:rFonts w:hint="eastAsia" w:ascii="宋体" w:hAnsi="宋体"/>
          <w:color w:val="auto"/>
          <w:sz w:val="24"/>
          <w:highlight w:val="none"/>
          <w:lang w:val="en-GB" w:eastAsia="zh-CN"/>
        </w:rPr>
        <w:t>竞投文件</w:t>
      </w:r>
      <w:r>
        <w:rPr>
          <w:rFonts w:hint="eastAsia" w:ascii="宋体" w:hAnsi="宋体"/>
          <w:color w:val="auto"/>
          <w:sz w:val="24"/>
          <w:highlight w:val="none"/>
          <w:lang w:val="en-GB"/>
        </w:rPr>
        <w:t>、主要合同条款、现场踏勘及市场情况、风险因素和拟采用的服务方案等进行自主报价，</w:t>
      </w:r>
      <w:r>
        <w:rPr>
          <w:rFonts w:hint="eastAsia" w:ascii="宋体" w:hAnsi="宋体"/>
          <w:color w:val="auto"/>
          <w:sz w:val="24"/>
          <w:highlight w:val="none"/>
          <w:lang w:val="en-GB" w:eastAsia="zh-CN"/>
        </w:rPr>
        <w:t>竞投</w:t>
      </w:r>
      <w:r>
        <w:rPr>
          <w:rFonts w:hint="eastAsia" w:ascii="宋体" w:hAnsi="宋体"/>
          <w:color w:val="auto"/>
          <w:sz w:val="24"/>
          <w:highlight w:val="none"/>
          <w:lang w:val="en-GB"/>
        </w:rPr>
        <w:t>报价应是完成本</w:t>
      </w:r>
      <w:r>
        <w:rPr>
          <w:rFonts w:hint="eastAsia" w:ascii="宋体" w:hAnsi="宋体"/>
          <w:color w:val="auto"/>
          <w:sz w:val="24"/>
          <w:highlight w:val="none"/>
          <w:lang w:val="en-GB" w:eastAsia="zh-CN"/>
        </w:rPr>
        <w:t>竞投文件</w:t>
      </w:r>
      <w:r>
        <w:rPr>
          <w:rFonts w:hint="eastAsia" w:ascii="宋体" w:hAnsi="宋体"/>
          <w:color w:val="auto"/>
          <w:sz w:val="24"/>
          <w:highlight w:val="none"/>
          <w:lang w:val="en-GB"/>
        </w:rPr>
        <w:t>和合同条款上所列招标范围及工期等内容的全部，不得以任何理由予以重复，作为</w:t>
      </w:r>
      <w:r>
        <w:rPr>
          <w:rFonts w:hint="eastAsia" w:ascii="宋体" w:hAnsi="宋体"/>
          <w:color w:val="auto"/>
          <w:sz w:val="24"/>
          <w:highlight w:val="none"/>
          <w:lang w:val="en-GB" w:eastAsia="zh-CN"/>
        </w:rPr>
        <w:t>投标人</w:t>
      </w:r>
      <w:r>
        <w:rPr>
          <w:rFonts w:hint="eastAsia" w:ascii="宋体" w:hAnsi="宋体"/>
          <w:color w:val="auto"/>
          <w:sz w:val="24"/>
          <w:highlight w:val="none"/>
          <w:lang w:val="en-GB"/>
        </w:rPr>
        <w:t>计算单价或总价的依据。</w:t>
      </w:r>
    </w:p>
    <w:p w14:paraId="49E63DAA">
      <w:pPr>
        <w:numPr>
          <w:ilvl w:val="0"/>
          <w:numId w:val="0"/>
        </w:numPr>
        <w:tabs>
          <w:tab w:val="left" w:pos="540"/>
        </w:tabs>
        <w:spacing w:line="360" w:lineRule="auto"/>
        <w:ind w:left="480" w:hanging="480" w:hangingChars="200"/>
        <w:rPr>
          <w:rFonts w:hint="eastAsia" w:ascii="宋体" w:hAnsi="宋体"/>
          <w:color w:val="auto"/>
          <w:sz w:val="24"/>
          <w:highlight w:val="none"/>
          <w:lang w:val="en-GB"/>
        </w:rPr>
      </w:pPr>
      <w:r>
        <w:rPr>
          <w:rFonts w:hint="eastAsia" w:ascii="宋体" w:hAnsi="宋体"/>
          <w:color w:val="auto"/>
          <w:sz w:val="24"/>
          <w:highlight w:val="none"/>
          <w:lang w:val="en-US" w:eastAsia="zh-CN"/>
        </w:rPr>
        <w:t>12.6</w:t>
      </w:r>
      <w:r>
        <w:rPr>
          <w:rFonts w:hint="eastAsia" w:ascii="宋体" w:hAnsi="宋体"/>
          <w:color w:val="auto"/>
          <w:sz w:val="24"/>
          <w:highlight w:val="none"/>
          <w:lang w:val="en-GB" w:eastAsia="zh-CN"/>
        </w:rPr>
        <w:t>招标人</w:t>
      </w:r>
      <w:r>
        <w:rPr>
          <w:rFonts w:hint="eastAsia" w:ascii="宋体" w:hAnsi="宋体"/>
          <w:color w:val="auto"/>
          <w:sz w:val="24"/>
          <w:highlight w:val="none"/>
          <w:lang w:val="en-GB"/>
        </w:rPr>
        <w:t>有权根据项目实际需要对服务方案进行优化，由于服务方案的优化所造成增加或减少部分内容，</w:t>
      </w:r>
      <w:r>
        <w:rPr>
          <w:rFonts w:hint="eastAsia" w:ascii="宋体" w:hAnsi="宋体"/>
          <w:color w:val="auto"/>
          <w:sz w:val="24"/>
          <w:highlight w:val="none"/>
          <w:lang w:val="en-GB" w:eastAsia="zh-CN"/>
        </w:rPr>
        <w:t>投标人</w:t>
      </w:r>
      <w:r>
        <w:rPr>
          <w:rFonts w:hint="eastAsia" w:ascii="宋体" w:hAnsi="宋体"/>
          <w:color w:val="auto"/>
          <w:sz w:val="24"/>
          <w:highlight w:val="none"/>
          <w:lang w:val="en-GB"/>
        </w:rPr>
        <w:t>必须无条件接受，不得拒绝或要求调整任何收费。如果方案优化后，有部分服务内容超越了本项目</w:t>
      </w:r>
      <w:r>
        <w:rPr>
          <w:rFonts w:hint="eastAsia" w:ascii="宋体" w:hAnsi="宋体"/>
          <w:color w:val="auto"/>
          <w:sz w:val="24"/>
          <w:highlight w:val="none"/>
          <w:lang w:val="en-GB" w:eastAsia="zh-CN"/>
        </w:rPr>
        <w:t>中标人</w:t>
      </w:r>
      <w:r>
        <w:rPr>
          <w:rFonts w:hint="eastAsia" w:ascii="宋体" w:hAnsi="宋体"/>
          <w:color w:val="auto"/>
          <w:sz w:val="24"/>
          <w:highlight w:val="none"/>
          <w:lang w:val="en-GB"/>
        </w:rPr>
        <w:t>的服务范围，则该部分内容</w:t>
      </w:r>
      <w:r>
        <w:rPr>
          <w:rFonts w:hint="eastAsia" w:ascii="宋体" w:hAnsi="宋体"/>
          <w:color w:val="auto"/>
          <w:sz w:val="24"/>
          <w:highlight w:val="none"/>
          <w:lang w:val="en-GB" w:eastAsia="zh-CN"/>
        </w:rPr>
        <w:t>招标人</w:t>
      </w:r>
      <w:r>
        <w:rPr>
          <w:rFonts w:hint="eastAsia" w:ascii="宋体" w:hAnsi="宋体"/>
          <w:color w:val="auto"/>
          <w:sz w:val="24"/>
          <w:highlight w:val="none"/>
          <w:lang w:val="en-GB"/>
        </w:rPr>
        <w:t>有权另行组织采购。</w:t>
      </w:r>
    </w:p>
    <w:p w14:paraId="75395F1B">
      <w:pPr>
        <w:numPr>
          <w:ilvl w:val="0"/>
          <w:numId w:val="20"/>
        </w:numPr>
        <w:tabs>
          <w:tab w:val="left" w:pos="540"/>
        </w:tabs>
        <w:spacing w:before="120" w:beforeLines="50" w:line="374" w:lineRule="auto"/>
        <w:ind w:left="420" w:leftChars="0" w:hanging="420" w:firstLineChars="0"/>
        <w:rPr>
          <w:rFonts w:ascii="宋体"/>
          <w:b/>
          <w:color w:val="auto"/>
          <w:sz w:val="24"/>
          <w:highlight w:val="none"/>
          <w:lang w:val="zh-CN"/>
        </w:rPr>
      </w:pPr>
      <w:r>
        <w:rPr>
          <w:rFonts w:hint="eastAsia" w:ascii="宋体" w:hAnsi="宋体"/>
          <w:b/>
          <w:color w:val="auto"/>
          <w:sz w:val="24"/>
          <w:highlight w:val="none"/>
          <w:lang w:val="zh-CN"/>
        </w:rPr>
        <w:t>竞投保证金</w:t>
      </w:r>
    </w:p>
    <w:p w14:paraId="14F2FFA3">
      <w:pPr>
        <w:numPr>
          <w:ilvl w:val="0"/>
          <w:numId w:val="0"/>
        </w:numPr>
        <w:tabs>
          <w:tab w:val="left" w:pos="540"/>
        </w:tabs>
        <w:spacing w:line="360" w:lineRule="auto"/>
        <w:ind w:left="480" w:hanging="480" w:hangingChars="200"/>
        <w:rPr>
          <w:rFonts w:hint="eastAsia" w:ascii="宋体" w:hAnsi="宋体"/>
          <w:color w:val="auto"/>
          <w:sz w:val="24"/>
          <w:highlight w:val="none"/>
          <w:lang w:val="en-GB" w:eastAsia="zh-CN"/>
        </w:rPr>
      </w:pPr>
      <w:r>
        <w:rPr>
          <w:rFonts w:hint="eastAsia" w:ascii="宋体" w:hAnsi="宋体"/>
          <w:color w:val="auto"/>
          <w:sz w:val="24"/>
          <w:highlight w:val="none"/>
          <w:lang w:val="zh-CN" w:eastAsia="zh-CN"/>
        </w:rPr>
        <w:t>本项目需提交竞投保证金：</w:t>
      </w:r>
      <w:r>
        <w:rPr>
          <w:rFonts w:hint="eastAsia" w:ascii="宋体" w:hAnsi="宋体"/>
          <w:color w:val="auto"/>
          <w:sz w:val="24"/>
          <w:highlight w:val="none"/>
          <w:lang w:val="en-US" w:eastAsia="zh-CN"/>
        </w:rPr>
        <w:t>人民币50,000.00</w:t>
      </w:r>
      <w:r>
        <w:rPr>
          <w:rFonts w:hint="eastAsia" w:ascii="宋体" w:hAnsi="宋体"/>
          <w:color w:val="auto"/>
          <w:sz w:val="24"/>
          <w:highlight w:val="none"/>
          <w:lang w:val="en-GB" w:eastAsia="zh-CN"/>
        </w:rPr>
        <w:t>元。</w:t>
      </w:r>
    </w:p>
    <w:p w14:paraId="7A971B5A">
      <w:pPr>
        <w:numPr>
          <w:ilvl w:val="0"/>
          <w:numId w:val="0"/>
        </w:numPr>
        <w:tabs>
          <w:tab w:val="left" w:pos="540"/>
        </w:tabs>
        <w:spacing w:line="360" w:lineRule="auto"/>
        <w:ind w:left="480" w:hanging="480" w:hangingChars="200"/>
        <w:rPr>
          <w:rFonts w:hint="eastAsia" w:ascii="宋体" w:hAnsi="宋体"/>
          <w:color w:val="auto"/>
          <w:sz w:val="24"/>
          <w:highlight w:val="none"/>
          <w:lang w:val="zh-CN" w:eastAsia="zh-CN"/>
        </w:rPr>
      </w:pPr>
      <w:r>
        <w:rPr>
          <w:rFonts w:hint="eastAsia" w:ascii="宋体" w:hAnsi="宋体"/>
          <w:color w:val="auto"/>
          <w:sz w:val="24"/>
          <w:highlight w:val="none"/>
          <w:lang w:val="en-US" w:eastAsia="zh-CN"/>
        </w:rPr>
        <w:t>13.1</w:t>
      </w:r>
      <w:r>
        <w:rPr>
          <w:rFonts w:hint="eastAsia" w:ascii="宋体" w:hAnsi="宋体"/>
          <w:color w:val="auto"/>
          <w:sz w:val="24"/>
          <w:highlight w:val="none"/>
          <w:lang w:val="zh-CN" w:eastAsia="zh-CN"/>
        </w:rPr>
        <w:t>对约定需要交纳竞投保证金时，投标人应在竞投截止时间前按竞投文件要求交纳竞投保证金，并作为其竞投的一部分。竞投保证金应以投标人名义按竞投须知前附表的要求递交。</w:t>
      </w:r>
    </w:p>
    <w:p w14:paraId="27D53205">
      <w:pPr>
        <w:tabs>
          <w:tab w:val="left" w:pos="540"/>
        </w:tabs>
        <w:spacing w:line="374" w:lineRule="auto"/>
        <w:ind w:firstLine="482" w:firstLineChars="200"/>
        <w:rPr>
          <w:color w:val="auto"/>
          <w:sz w:val="24"/>
          <w:highlight w:val="none"/>
          <w:lang w:val="zh-CN"/>
        </w:rPr>
      </w:pPr>
      <w:r>
        <w:rPr>
          <w:rFonts w:hint="eastAsia"/>
          <w:b/>
          <w:bCs/>
          <w:color w:val="auto"/>
          <w:sz w:val="24"/>
          <w:highlight w:val="none"/>
          <w:lang w:val="zh-CN"/>
        </w:rPr>
        <w:t>凡没有按照本须知第</w:t>
      </w:r>
      <w:r>
        <w:rPr>
          <w:b/>
          <w:bCs/>
          <w:color w:val="auto"/>
          <w:sz w:val="24"/>
          <w:highlight w:val="none"/>
          <w:lang w:val="zh-CN"/>
        </w:rPr>
        <w:t>1</w:t>
      </w:r>
      <w:r>
        <w:rPr>
          <w:rFonts w:hint="eastAsia"/>
          <w:b/>
          <w:bCs/>
          <w:color w:val="auto"/>
          <w:sz w:val="24"/>
          <w:highlight w:val="none"/>
          <w:lang w:val="en-US" w:eastAsia="zh-CN"/>
        </w:rPr>
        <w:t>3</w:t>
      </w:r>
      <w:r>
        <w:rPr>
          <w:b/>
          <w:bCs/>
          <w:color w:val="auto"/>
          <w:sz w:val="24"/>
          <w:highlight w:val="none"/>
          <w:lang w:val="zh-CN"/>
        </w:rPr>
        <w:t>.1</w:t>
      </w:r>
      <w:r>
        <w:rPr>
          <w:rFonts w:hint="eastAsia"/>
          <w:b/>
          <w:bCs/>
          <w:color w:val="auto"/>
          <w:sz w:val="24"/>
          <w:highlight w:val="none"/>
          <w:lang w:val="zh-CN"/>
        </w:rPr>
        <w:t>条的规定随附有效的竞投保证金的竞投，视为资格审查不合格，被拒绝参加竞投。</w:t>
      </w:r>
    </w:p>
    <w:p w14:paraId="09C9A0DD">
      <w:pPr>
        <w:numPr>
          <w:ilvl w:val="0"/>
          <w:numId w:val="0"/>
        </w:numPr>
        <w:tabs>
          <w:tab w:val="left" w:pos="540"/>
        </w:tabs>
        <w:spacing w:line="360" w:lineRule="auto"/>
        <w:ind w:left="480" w:hanging="480" w:hangingChars="200"/>
        <w:rPr>
          <w:rFonts w:hint="eastAsia" w:ascii="宋体" w:hAnsi="宋体"/>
          <w:color w:val="auto"/>
          <w:sz w:val="24"/>
          <w:highlight w:val="none"/>
          <w:lang w:val="zh-CN" w:eastAsia="zh-CN"/>
        </w:rPr>
      </w:pPr>
      <w:r>
        <w:rPr>
          <w:rFonts w:hint="eastAsia" w:ascii="宋体" w:hAnsi="宋体"/>
          <w:color w:val="auto"/>
          <w:sz w:val="24"/>
          <w:highlight w:val="none"/>
          <w:lang w:val="en-US" w:eastAsia="zh-CN"/>
        </w:rPr>
        <w:t>13.2</w:t>
      </w:r>
      <w:r>
        <w:rPr>
          <w:rFonts w:hint="eastAsia" w:ascii="宋体" w:hAnsi="宋体"/>
          <w:color w:val="auto"/>
          <w:sz w:val="24"/>
          <w:highlight w:val="none"/>
          <w:lang w:val="zh-CN" w:eastAsia="zh-CN"/>
        </w:rPr>
        <w:t>竞投保证金是用于保护本次招标免受投标人的行为而引起的风险，下列任何一种情况发生时，竞投保证金将不予退还，因此而造成招标人的损失须由投标人承担：</w:t>
      </w:r>
    </w:p>
    <w:p w14:paraId="28D0DE64">
      <w:pPr>
        <w:numPr>
          <w:ilvl w:val="1"/>
          <w:numId w:val="24"/>
        </w:numPr>
        <w:tabs>
          <w:tab w:val="left" w:pos="900"/>
          <w:tab w:val="clear" w:pos="840"/>
        </w:tabs>
        <w:spacing w:line="374" w:lineRule="auto"/>
        <w:ind w:left="900" w:hanging="360"/>
        <w:rPr>
          <w:rFonts w:ascii="宋体"/>
          <w:color w:val="auto"/>
          <w:sz w:val="24"/>
          <w:highlight w:val="none"/>
        </w:rPr>
      </w:pPr>
      <w:r>
        <w:rPr>
          <w:rFonts w:hint="eastAsia" w:ascii="宋体" w:hAnsi="宋体"/>
          <w:color w:val="auto"/>
          <w:sz w:val="24"/>
          <w:highlight w:val="none"/>
          <w:lang w:eastAsia="zh-CN"/>
        </w:rPr>
        <w:t>资格审查</w:t>
      </w:r>
      <w:r>
        <w:rPr>
          <w:rFonts w:hint="eastAsia" w:ascii="宋体" w:hAnsi="宋体"/>
          <w:color w:val="auto"/>
          <w:sz w:val="24"/>
          <w:highlight w:val="none"/>
        </w:rPr>
        <w:t>文件中提供伪造、虚假的材料；</w:t>
      </w:r>
    </w:p>
    <w:p w14:paraId="4437189C">
      <w:pPr>
        <w:numPr>
          <w:ilvl w:val="1"/>
          <w:numId w:val="24"/>
        </w:numPr>
        <w:tabs>
          <w:tab w:val="left" w:pos="900"/>
          <w:tab w:val="clear" w:pos="840"/>
        </w:tabs>
        <w:spacing w:line="374" w:lineRule="auto"/>
        <w:ind w:left="900" w:hanging="360"/>
        <w:rPr>
          <w:rFonts w:ascii="宋体"/>
          <w:color w:val="auto"/>
          <w:sz w:val="24"/>
          <w:highlight w:val="none"/>
        </w:rPr>
      </w:pPr>
      <w:r>
        <w:rPr>
          <w:rFonts w:hint="eastAsia" w:ascii="宋体" w:hAnsi="宋体"/>
          <w:color w:val="auto"/>
          <w:sz w:val="24"/>
          <w:highlight w:val="none"/>
        </w:rPr>
        <w:t>在</w:t>
      </w:r>
      <w:r>
        <w:rPr>
          <w:rFonts w:hint="eastAsia" w:ascii="宋体" w:hAnsi="宋体"/>
          <w:color w:val="auto"/>
          <w:sz w:val="24"/>
          <w:highlight w:val="none"/>
          <w:lang w:eastAsia="zh-CN"/>
        </w:rPr>
        <w:t>资格审查</w:t>
      </w:r>
      <w:r>
        <w:rPr>
          <w:rFonts w:hint="eastAsia" w:ascii="宋体" w:hAnsi="宋体"/>
          <w:color w:val="auto"/>
          <w:sz w:val="24"/>
          <w:highlight w:val="none"/>
        </w:rPr>
        <w:t>期间，使用不正当手段试图影响、改变</w:t>
      </w:r>
      <w:r>
        <w:rPr>
          <w:rFonts w:hint="eastAsia" w:ascii="宋体" w:hAnsi="宋体"/>
          <w:color w:val="auto"/>
          <w:sz w:val="24"/>
          <w:highlight w:val="none"/>
          <w:lang w:eastAsia="zh-CN"/>
        </w:rPr>
        <w:t>资格审查</w:t>
      </w:r>
      <w:r>
        <w:rPr>
          <w:rFonts w:hint="eastAsia" w:ascii="宋体" w:hAnsi="宋体"/>
          <w:color w:val="auto"/>
          <w:sz w:val="24"/>
          <w:highlight w:val="none"/>
        </w:rPr>
        <w:t>结果；</w:t>
      </w:r>
    </w:p>
    <w:p w14:paraId="0FD15B26">
      <w:pPr>
        <w:numPr>
          <w:ilvl w:val="1"/>
          <w:numId w:val="24"/>
        </w:numPr>
        <w:tabs>
          <w:tab w:val="left" w:pos="900"/>
          <w:tab w:val="clear" w:pos="840"/>
        </w:tabs>
        <w:spacing w:line="374" w:lineRule="auto"/>
        <w:ind w:left="900" w:hanging="360"/>
        <w:rPr>
          <w:rFonts w:ascii="宋体"/>
          <w:color w:val="auto"/>
          <w:sz w:val="24"/>
          <w:highlight w:val="none"/>
          <w:lang w:val="zh-CN"/>
        </w:rPr>
      </w:pPr>
      <w:r>
        <w:rPr>
          <w:rFonts w:hint="eastAsia" w:ascii="宋体" w:hAnsi="宋体"/>
          <w:color w:val="auto"/>
          <w:sz w:val="24"/>
          <w:highlight w:val="none"/>
        </w:rPr>
        <w:t>恶意串通或捏造事实，对其竞争对手进行诋毁、排挤、攻击；</w:t>
      </w:r>
    </w:p>
    <w:p w14:paraId="0EB137AE">
      <w:pPr>
        <w:numPr>
          <w:ilvl w:val="1"/>
          <w:numId w:val="24"/>
        </w:numPr>
        <w:tabs>
          <w:tab w:val="left" w:pos="900"/>
          <w:tab w:val="clear" w:pos="840"/>
        </w:tabs>
        <w:spacing w:line="374" w:lineRule="auto"/>
        <w:ind w:left="900" w:hanging="360"/>
        <w:rPr>
          <w:rFonts w:ascii="宋体"/>
          <w:color w:val="auto"/>
          <w:sz w:val="24"/>
          <w:highlight w:val="none"/>
          <w:lang w:val="zh-CN"/>
        </w:rPr>
      </w:pPr>
      <w:r>
        <w:rPr>
          <w:rFonts w:hint="eastAsia" w:ascii="宋体" w:hAnsi="宋体"/>
          <w:color w:val="auto"/>
          <w:sz w:val="24"/>
          <w:highlight w:val="none"/>
          <w:lang w:val="zh-CN"/>
        </w:rPr>
        <w:t>中标人在规定期限内未能根据《竞投文件》要求或《中标通知书》的规定签订合同</w:t>
      </w:r>
      <w:r>
        <w:rPr>
          <w:rFonts w:hint="eastAsia" w:ascii="宋体" w:hAnsi="宋体"/>
          <w:color w:val="auto"/>
          <w:sz w:val="24"/>
          <w:highlight w:val="none"/>
        </w:rPr>
        <w:t>，或拒绝、拖延、没有完全履行</w:t>
      </w:r>
      <w:r>
        <w:rPr>
          <w:rFonts w:hint="eastAsia" w:ascii="宋体" w:hAnsi="宋体"/>
          <w:color w:val="auto"/>
          <w:sz w:val="24"/>
          <w:highlight w:val="none"/>
          <w:lang w:eastAsia="zh-CN"/>
        </w:rPr>
        <w:t>竞投</w:t>
      </w:r>
      <w:r>
        <w:rPr>
          <w:rFonts w:hint="eastAsia" w:ascii="宋体" w:hAnsi="宋体"/>
          <w:color w:val="auto"/>
          <w:sz w:val="24"/>
          <w:highlight w:val="none"/>
        </w:rPr>
        <w:t>承诺（不可抗力除外）；</w:t>
      </w:r>
    </w:p>
    <w:p w14:paraId="1B52950A">
      <w:pPr>
        <w:numPr>
          <w:ilvl w:val="1"/>
          <w:numId w:val="24"/>
        </w:numPr>
        <w:tabs>
          <w:tab w:val="left" w:pos="900"/>
          <w:tab w:val="clear" w:pos="840"/>
        </w:tabs>
        <w:spacing w:line="374" w:lineRule="auto"/>
        <w:ind w:left="900" w:hanging="360"/>
        <w:rPr>
          <w:rFonts w:ascii="宋体"/>
          <w:color w:val="auto"/>
          <w:sz w:val="24"/>
          <w:highlight w:val="none"/>
          <w:lang w:val="zh-CN"/>
        </w:rPr>
      </w:pPr>
      <w:r>
        <w:rPr>
          <w:rFonts w:hint="eastAsia" w:ascii="宋体" w:hAnsi="宋体"/>
          <w:color w:val="auto"/>
          <w:sz w:val="24"/>
          <w:highlight w:val="none"/>
          <w:lang w:val="zh-CN"/>
        </w:rPr>
        <w:t>中标后未按竞投文件中的规定缴付招标代理费和评估费；</w:t>
      </w:r>
    </w:p>
    <w:p w14:paraId="5CA381D4">
      <w:pPr>
        <w:numPr>
          <w:ilvl w:val="1"/>
          <w:numId w:val="24"/>
        </w:numPr>
        <w:tabs>
          <w:tab w:val="left" w:pos="900"/>
          <w:tab w:val="clear" w:pos="840"/>
        </w:tabs>
        <w:spacing w:line="374" w:lineRule="auto"/>
        <w:ind w:left="900" w:hanging="360"/>
        <w:rPr>
          <w:rFonts w:ascii="宋体"/>
          <w:color w:val="auto"/>
          <w:sz w:val="24"/>
          <w:highlight w:val="none"/>
        </w:rPr>
      </w:pPr>
      <w:r>
        <w:rPr>
          <w:rFonts w:hint="eastAsia" w:ascii="宋体" w:hAnsi="宋体"/>
          <w:color w:val="auto"/>
          <w:sz w:val="24"/>
          <w:highlight w:val="none"/>
        </w:rPr>
        <w:t>擅自将中标项目或主体关键性内容分包转让他人；</w:t>
      </w:r>
    </w:p>
    <w:p w14:paraId="01D301C3">
      <w:pPr>
        <w:numPr>
          <w:ilvl w:val="1"/>
          <w:numId w:val="24"/>
        </w:numPr>
        <w:tabs>
          <w:tab w:val="left" w:pos="900"/>
          <w:tab w:val="clear" w:pos="840"/>
        </w:tabs>
        <w:spacing w:line="374" w:lineRule="auto"/>
        <w:ind w:left="900" w:hanging="360"/>
        <w:rPr>
          <w:rFonts w:ascii="宋体"/>
          <w:color w:val="auto"/>
          <w:sz w:val="24"/>
          <w:highlight w:val="none"/>
          <w:lang w:val="zh-CN"/>
        </w:rPr>
      </w:pPr>
      <w:r>
        <w:rPr>
          <w:rFonts w:hint="eastAsia" w:ascii="宋体" w:hAnsi="宋体"/>
          <w:color w:val="auto"/>
          <w:sz w:val="24"/>
          <w:highlight w:val="none"/>
        </w:rPr>
        <w:t>获中标通知后，无法如期履行承诺按</w:t>
      </w:r>
      <w:r>
        <w:rPr>
          <w:rFonts w:hint="eastAsia" w:ascii="宋体" w:hAnsi="宋体"/>
          <w:color w:val="auto"/>
          <w:sz w:val="24"/>
          <w:highlight w:val="none"/>
          <w:lang w:eastAsia="zh-CN"/>
        </w:rPr>
        <w:t>招标人</w:t>
      </w:r>
      <w:r>
        <w:rPr>
          <w:rFonts w:hint="eastAsia" w:ascii="宋体" w:hAnsi="宋体"/>
          <w:color w:val="auto"/>
          <w:sz w:val="24"/>
          <w:highlight w:val="none"/>
        </w:rPr>
        <w:t>的要求提供合法有效的重要证明材料原件；</w:t>
      </w:r>
    </w:p>
    <w:p w14:paraId="0339BBFF">
      <w:pPr>
        <w:numPr>
          <w:ilvl w:val="1"/>
          <w:numId w:val="24"/>
        </w:numPr>
        <w:tabs>
          <w:tab w:val="left" w:pos="900"/>
          <w:tab w:val="clear" w:pos="840"/>
        </w:tabs>
        <w:spacing w:line="374" w:lineRule="auto"/>
        <w:ind w:left="900" w:hanging="360"/>
        <w:rPr>
          <w:rFonts w:ascii="宋体"/>
          <w:color w:val="auto"/>
          <w:sz w:val="24"/>
          <w:highlight w:val="none"/>
          <w:lang w:val="zh-CN"/>
        </w:rPr>
      </w:pPr>
      <w:r>
        <w:rPr>
          <w:rFonts w:hint="eastAsia" w:ascii="宋体" w:hAnsi="宋体"/>
          <w:color w:val="auto"/>
          <w:sz w:val="24"/>
          <w:highlight w:val="none"/>
          <w:lang w:val="zh-CN"/>
        </w:rPr>
        <w:t>有违反国家有关法律法规的行为。</w:t>
      </w:r>
    </w:p>
    <w:p w14:paraId="0F9AFD64">
      <w:pPr>
        <w:numPr>
          <w:ilvl w:val="0"/>
          <w:numId w:val="0"/>
        </w:numPr>
        <w:tabs>
          <w:tab w:val="left" w:pos="540"/>
        </w:tabs>
        <w:spacing w:line="360" w:lineRule="auto"/>
        <w:ind w:left="480" w:hanging="480" w:hangingChars="200"/>
        <w:rPr>
          <w:rFonts w:hint="eastAsia" w:asciiTheme="minorEastAsia" w:hAnsiTheme="minorEastAsia" w:eastAsiaTheme="minorEastAsia" w:cstheme="minorEastAsia"/>
          <w:color w:val="auto"/>
          <w:sz w:val="24"/>
          <w:highlight w:val="none"/>
          <w:lang w:val="zh-CN"/>
        </w:rPr>
      </w:pPr>
      <w:r>
        <w:rPr>
          <w:rFonts w:hint="eastAsia" w:asciiTheme="minorEastAsia" w:hAnsiTheme="minorEastAsia" w:eastAsiaTheme="minorEastAsia" w:cstheme="minorEastAsia"/>
          <w:color w:val="auto"/>
          <w:sz w:val="24"/>
          <w:highlight w:val="none"/>
          <w:lang w:val="en-US" w:eastAsia="zh-CN"/>
        </w:rPr>
        <w:t>13.3</w:t>
      </w:r>
      <w:r>
        <w:rPr>
          <w:rFonts w:hint="eastAsia" w:asciiTheme="minorEastAsia" w:hAnsiTheme="minorEastAsia" w:eastAsiaTheme="minorEastAsia" w:cstheme="minorEastAsia"/>
          <w:color w:val="auto"/>
          <w:sz w:val="24"/>
          <w:highlight w:val="none"/>
          <w:lang w:val="zh-CN"/>
        </w:rPr>
        <w:t>未中标的投标人的竞投保证金，于</w:t>
      </w:r>
      <w:r>
        <w:rPr>
          <w:rFonts w:hint="eastAsia" w:asciiTheme="minorEastAsia" w:hAnsiTheme="minorEastAsia" w:eastAsiaTheme="minorEastAsia" w:cstheme="minorEastAsia"/>
          <w:color w:val="auto"/>
          <w:sz w:val="24"/>
          <w:highlight w:val="none"/>
          <w:lang w:val="en-GB"/>
        </w:rPr>
        <w:t>中标通知书发出后</w:t>
      </w:r>
      <w:r>
        <w:rPr>
          <w:rFonts w:hint="eastAsia" w:asciiTheme="minorEastAsia" w:hAnsiTheme="minorEastAsia" w:eastAsiaTheme="minorEastAsia" w:cstheme="minorEastAsia"/>
          <w:color w:val="auto"/>
          <w:sz w:val="24"/>
          <w:highlight w:val="none"/>
          <w:lang w:val="zh-CN"/>
        </w:rPr>
        <w:t>五个工作日内按规定退还。</w:t>
      </w:r>
    </w:p>
    <w:p w14:paraId="5BF06446">
      <w:pPr>
        <w:numPr>
          <w:ilvl w:val="0"/>
          <w:numId w:val="0"/>
        </w:numPr>
        <w:tabs>
          <w:tab w:val="left" w:pos="540"/>
        </w:tabs>
        <w:spacing w:line="374" w:lineRule="auto"/>
        <w:ind w:left="0" w:firstLine="0"/>
        <w:rPr>
          <w:rFonts w:hint="eastAsia" w:asciiTheme="minorEastAsia" w:hAnsiTheme="minorEastAsia" w:eastAsiaTheme="minorEastAsia" w:cstheme="minorEastAsia"/>
          <w:color w:val="auto"/>
          <w:sz w:val="24"/>
          <w:highlight w:val="none"/>
          <w:lang w:val="en-GB"/>
        </w:rPr>
      </w:pPr>
      <w:r>
        <w:rPr>
          <w:rFonts w:hint="eastAsia" w:asciiTheme="minorEastAsia" w:hAnsiTheme="minorEastAsia" w:eastAsiaTheme="minorEastAsia" w:cstheme="minorEastAsia"/>
          <w:color w:val="auto"/>
          <w:sz w:val="24"/>
          <w:highlight w:val="none"/>
          <w:lang w:val="en-US" w:eastAsia="zh-CN"/>
        </w:rPr>
        <w:t>13.4</w:t>
      </w:r>
      <w:r>
        <w:rPr>
          <w:rFonts w:hint="eastAsia" w:asciiTheme="minorEastAsia" w:hAnsiTheme="minorEastAsia" w:eastAsiaTheme="minorEastAsia" w:cstheme="minorEastAsia"/>
          <w:color w:val="auto"/>
          <w:sz w:val="24"/>
          <w:highlight w:val="none"/>
          <w:lang w:val="zh-CN"/>
        </w:rPr>
        <w:t>中标人的竞投保证金将在其与招标人签订合同并经招标代理机构见证生效后五个工作日内按规定退还</w:t>
      </w:r>
      <w:r>
        <w:rPr>
          <w:rFonts w:hint="eastAsia" w:asciiTheme="minorEastAsia" w:hAnsiTheme="minorEastAsia" w:eastAsiaTheme="minorEastAsia" w:cstheme="minorEastAsia"/>
          <w:color w:val="auto"/>
          <w:sz w:val="24"/>
          <w:highlight w:val="none"/>
          <w:lang w:val="en-GB"/>
        </w:rPr>
        <w:t>。</w:t>
      </w:r>
    </w:p>
    <w:p w14:paraId="22356FB9">
      <w:pPr>
        <w:numPr>
          <w:ilvl w:val="0"/>
          <w:numId w:val="20"/>
        </w:numPr>
        <w:tabs>
          <w:tab w:val="left" w:pos="540"/>
        </w:tabs>
        <w:spacing w:before="120" w:beforeLines="50" w:line="374" w:lineRule="auto"/>
        <w:ind w:left="420" w:leftChars="0" w:hanging="420" w:firstLineChars="0"/>
        <w:rPr>
          <w:rFonts w:hint="eastAsia" w:asciiTheme="minorEastAsia" w:hAnsiTheme="minorEastAsia" w:eastAsiaTheme="minorEastAsia" w:cstheme="minorEastAsia"/>
          <w:b/>
          <w:color w:val="auto"/>
          <w:sz w:val="24"/>
          <w:highlight w:val="none"/>
          <w:lang w:val="zh-CN"/>
        </w:rPr>
      </w:pPr>
      <w:r>
        <w:rPr>
          <w:rFonts w:hint="eastAsia" w:asciiTheme="minorEastAsia" w:hAnsiTheme="minorEastAsia" w:eastAsiaTheme="minorEastAsia" w:cstheme="minorEastAsia"/>
          <w:b/>
          <w:color w:val="auto"/>
          <w:sz w:val="24"/>
          <w:highlight w:val="none"/>
          <w:lang w:val="en-US" w:eastAsia="zh-CN"/>
        </w:rPr>
        <w:t>投标</w:t>
      </w:r>
      <w:r>
        <w:rPr>
          <w:rFonts w:hint="eastAsia" w:asciiTheme="minorEastAsia" w:hAnsiTheme="minorEastAsia" w:eastAsiaTheme="minorEastAsia" w:cstheme="minorEastAsia"/>
          <w:b/>
          <w:color w:val="auto"/>
          <w:sz w:val="24"/>
          <w:highlight w:val="none"/>
          <w:lang w:val="zh-CN"/>
        </w:rPr>
        <w:t>有效期</w:t>
      </w:r>
    </w:p>
    <w:p w14:paraId="753F20C6">
      <w:pPr>
        <w:numPr>
          <w:ilvl w:val="0"/>
          <w:numId w:val="0"/>
        </w:numPr>
        <w:tabs>
          <w:tab w:val="left" w:pos="540"/>
        </w:tabs>
        <w:spacing w:line="374" w:lineRule="auto"/>
        <w:ind w:left="0" w:firstLine="0"/>
        <w:rPr>
          <w:rFonts w:ascii="宋体"/>
          <w:b/>
          <w:color w:val="auto"/>
          <w:sz w:val="24"/>
          <w:highlight w:val="none"/>
          <w:lang w:val="en-GB"/>
        </w:rPr>
      </w:pPr>
      <w:r>
        <w:rPr>
          <w:rFonts w:hint="eastAsia" w:asciiTheme="minorEastAsia" w:hAnsiTheme="minorEastAsia" w:eastAsiaTheme="minorEastAsia" w:cstheme="minorEastAsia"/>
          <w:color w:val="auto"/>
          <w:sz w:val="24"/>
          <w:highlight w:val="none"/>
          <w:lang w:val="en-US" w:eastAsia="zh-CN"/>
        </w:rPr>
        <w:t>14.1</w:t>
      </w:r>
      <w:r>
        <w:rPr>
          <w:rFonts w:hint="eastAsia" w:ascii="宋体" w:hAnsi="宋体"/>
          <w:color w:val="auto"/>
          <w:sz w:val="24"/>
          <w:highlight w:val="none"/>
          <w:lang w:val="en-US" w:eastAsia="zh-CN"/>
        </w:rPr>
        <w:t>投标</w:t>
      </w:r>
      <w:r>
        <w:rPr>
          <w:rFonts w:hint="eastAsia" w:ascii="宋体" w:hAnsi="宋体"/>
          <w:color w:val="auto"/>
          <w:sz w:val="24"/>
          <w:highlight w:val="none"/>
          <w:lang w:val="en-GB" w:eastAsia="zh-CN"/>
        </w:rPr>
        <w:t>有效期为自递交资格审查文件截止之日起</w:t>
      </w:r>
      <w:r>
        <w:rPr>
          <w:rFonts w:hint="eastAsia" w:ascii="宋体" w:hAnsi="宋体"/>
          <w:color w:val="auto"/>
          <w:sz w:val="24"/>
          <w:highlight w:val="none"/>
          <w:lang w:val="en-US" w:eastAsia="zh-CN"/>
        </w:rPr>
        <w:t>60</w:t>
      </w:r>
      <w:r>
        <w:rPr>
          <w:rFonts w:hint="eastAsia" w:ascii="宋体" w:hAnsi="宋体"/>
          <w:color w:val="auto"/>
          <w:sz w:val="24"/>
          <w:highlight w:val="none"/>
          <w:lang w:val="en-GB" w:eastAsia="zh-CN"/>
        </w:rPr>
        <w:t>天，中标人投标有效期则顺延至项目完成验收之日，在此有效期内未经招标人或招标代理机构同意，资格审查文件的一切内容和补充承诺均为持续有效且不予</w:t>
      </w:r>
      <w:r>
        <w:rPr>
          <w:rFonts w:hint="eastAsia" w:ascii="宋体" w:hAnsi="宋体"/>
          <w:color w:val="auto"/>
          <w:sz w:val="24"/>
          <w:highlight w:val="none"/>
          <w:lang w:val="en-GB"/>
        </w:rPr>
        <w:t>改变。</w:t>
      </w:r>
      <w:r>
        <w:rPr>
          <w:rFonts w:hint="eastAsia" w:ascii="宋体" w:hAnsi="宋体"/>
          <w:b/>
          <w:color w:val="auto"/>
          <w:sz w:val="24"/>
          <w:highlight w:val="none"/>
          <w:lang w:val="en-GB" w:eastAsia="zh-CN"/>
        </w:rPr>
        <w:t>投标有效期</w:t>
      </w:r>
      <w:r>
        <w:rPr>
          <w:rFonts w:hint="eastAsia" w:ascii="宋体" w:hAnsi="宋体"/>
          <w:b/>
          <w:color w:val="auto"/>
          <w:sz w:val="24"/>
          <w:highlight w:val="none"/>
          <w:lang w:val="en-GB"/>
        </w:rPr>
        <w:t>比规定时间短的将被视为</w:t>
      </w:r>
      <w:r>
        <w:rPr>
          <w:rFonts w:hint="eastAsia" w:ascii="宋体" w:hAnsi="宋体"/>
          <w:b/>
          <w:color w:val="auto"/>
          <w:sz w:val="24"/>
          <w:highlight w:val="none"/>
          <w:lang w:val="en-GB" w:eastAsia="zh-CN"/>
        </w:rPr>
        <w:t>资格审查不合格</w:t>
      </w:r>
      <w:r>
        <w:rPr>
          <w:rFonts w:hint="eastAsia" w:ascii="宋体" w:hAnsi="宋体"/>
          <w:b/>
          <w:color w:val="auto"/>
          <w:sz w:val="24"/>
          <w:highlight w:val="none"/>
          <w:lang w:val="en-GB"/>
        </w:rPr>
        <w:t>。</w:t>
      </w:r>
    </w:p>
    <w:p w14:paraId="1A516222">
      <w:pPr>
        <w:numPr>
          <w:ilvl w:val="0"/>
          <w:numId w:val="0"/>
        </w:numPr>
        <w:tabs>
          <w:tab w:val="left" w:pos="540"/>
        </w:tabs>
        <w:spacing w:line="360" w:lineRule="auto"/>
        <w:ind w:left="480" w:hanging="480" w:hangingChars="200"/>
        <w:rPr>
          <w:rFonts w:hint="eastAsia" w:ascii="宋体" w:hAnsi="宋体"/>
          <w:color w:val="auto"/>
          <w:sz w:val="24"/>
          <w:highlight w:val="none"/>
          <w:lang w:val="en-GB" w:eastAsia="zh-CN"/>
        </w:rPr>
      </w:pPr>
      <w:r>
        <w:rPr>
          <w:rFonts w:hint="eastAsia" w:ascii="宋体" w:hAnsi="宋体"/>
          <w:color w:val="auto"/>
          <w:sz w:val="24"/>
          <w:highlight w:val="none"/>
          <w:lang w:val="en-US" w:eastAsia="zh-CN"/>
        </w:rPr>
        <w:t>14.2</w:t>
      </w:r>
      <w:r>
        <w:rPr>
          <w:rFonts w:hint="eastAsia" w:ascii="宋体" w:hAnsi="宋体"/>
          <w:color w:val="auto"/>
          <w:sz w:val="24"/>
          <w:highlight w:val="none"/>
          <w:lang w:val="en-GB" w:eastAsia="zh-CN"/>
        </w:rPr>
        <w:t>特殊情况下招标代理机构或招标人可于投标有效期期满前，要求投标人延长其竞投文件有效期。投标人可以拒绝或同意上述要求，延长投标有效期的要求与答复均要求为书面形式。不同意该要求的投标人将视为自动放弃</w:t>
      </w:r>
      <w:r>
        <w:rPr>
          <w:rFonts w:hint="eastAsia" w:ascii="宋体" w:hAnsi="宋体"/>
          <w:color w:val="auto"/>
          <w:sz w:val="24"/>
          <w:highlight w:val="none"/>
          <w:lang w:val="zh-CN" w:eastAsia="zh-CN"/>
        </w:rPr>
        <w:t>竞投资格</w:t>
      </w:r>
      <w:r>
        <w:rPr>
          <w:rFonts w:hint="eastAsia" w:ascii="宋体" w:hAnsi="宋体"/>
          <w:color w:val="auto"/>
          <w:sz w:val="24"/>
          <w:highlight w:val="none"/>
          <w:lang w:val="en-GB" w:eastAsia="zh-CN"/>
        </w:rPr>
        <w:t>，其竞投保证金将予以退还。</w:t>
      </w:r>
    </w:p>
    <w:p w14:paraId="4F1DAC70">
      <w:pPr>
        <w:tabs>
          <w:tab w:val="left" w:pos="540"/>
          <w:tab w:val="left" w:pos="720"/>
          <w:tab w:val="left" w:pos="840"/>
        </w:tabs>
        <w:spacing w:after="72" w:afterLines="30" w:line="336" w:lineRule="auto"/>
        <w:ind w:right="-178" w:rightChars="-85"/>
        <w:jc w:val="center"/>
        <w:outlineLvl w:val="1"/>
        <w:rPr>
          <w:rFonts w:ascii="宋体"/>
          <w:b/>
          <w:color w:val="auto"/>
          <w:sz w:val="28"/>
          <w:szCs w:val="28"/>
          <w:highlight w:val="none"/>
        </w:rPr>
      </w:pPr>
      <w:bookmarkStart w:id="60" w:name="_Toc27501"/>
      <w:bookmarkStart w:id="61" w:name="_Toc20538"/>
      <w:bookmarkStart w:id="62" w:name="_Toc27249"/>
      <w:bookmarkStart w:id="63" w:name="_Toc334432593"/>
      <w:bookmarkStart w:id="64" w:name="_Toc19881"/>
      <w:r>
        <w:rPr>
          <w:rFonts w:hint="eastAsia" w:ascii="宋体" w:hAnsi="宋体"/>
          <w:b/>
          <w:color w:val="auto"/>
          <w:sz w:val="28"/>
          <w:szCs w:val="28"/>
          <w:highlight w:val="none"/>
        </w:rPr>
        <w:t>五、</w:t>
      </w:r>
      <w:r>
        <w:rPr>
          <w:rFonts w:hint="eastAsia" w:ascii="宋体" w:hAnsi="宋体"/>
          <w:b/>
          <w:color w:val="auto"/>
          <w:sz w:val="28"/>
          <w:szCs w:val="28"/>
          <w:highlight w:val="none"/>
          <w:lang w:eastAsia="zh-CN"/>
        </w:rPr>
        <w:t>资格审查</w:t>
      </w:r>
      <w:r>
        <w:rPr>
          <w:rFonts w:hint="eastAsia" w:ascii="宋体" w:hAnsi="宋体"/>
          <w:b/>
          <w:color w:val="auto"/>
          <w:sz w:val="28"/>
          <w:szCs w:val="28"/>
          <w:highlight w:val="none"/>
        </w:rPr>
        <w:t>程序</w:t>
      </w:r>
      <w:bookmarkEnd w:id="60"/>
      <w:bookmarkEnd w:id="61"/>
      <w:bookmarkEnd w:id="62"/>
      <w:bookmarkEnd w:id="63"/>
      <w:bookmarkEnd w:id="64"/>
    </w:p>
    <w:p w14:paraId="18CD81A0">
      <w:pPr>
        <w:numPr>
          <w:ilvl w:val="0"/>
          <w:numId w:val="20"/>
        </w:numPr>
        <w:tabs>
          <w:tab w:val="left" w:pos="540"/>
        </w:tabs>
        <w:spacing w:line="377" w:lineRule="auto"/>
        <w:ind w:left="420" w:leftChars="0" w:hanging="420" w:firstLineChars="0"/>
        <w:rPr>
          <w:rFonts w:ascii="宋体"/>
          <w:b/>
          <w:color w:val="auto"/>
          <w:sz w:val="24"/>
          <w:highlight w:val="none"/>
          <w:lang w:val="zh-CN"/>
        </w:rPr>
      </w:pPr>
      <w:r>
        <w:rPr>
          <w:rFonts w:hint="eastAsia" w:ascii="宋体" w:hAnsi="宋体"/>
          <w:b/>
          <w:color w:val="auto"/>
          <w:sz w:val="24"/>
          <w:highlight w:val="none"/>
          <w:lang w:val="zh-CN"/>
        </w:rPr>
        <w:t>资格审查文件的递交</w:t>
      </w:r>
    </w:p>
    <w:p w14:paraId="2B25476C">
      <w:pPr>
        <w:numPr>
          <w:ilvl w:val="0"/>
          <w:numId w:val="0"/>
        </w:numPr>
        <w:tabs>
          <w:tab w:val="left" w:pos="540"/>
        </w:tabs>
        <w:spacing w:line="374" w:lineRule="auto"/>
        <w:ind w:left="0" w:firstLine="0"/>
        <w:rPr>
          <w:rFonts w:hint="eastAsia" w:ascii="宋体" w:hAnsi="宋体"/>
          <w:color w:val="auto"/>
          <w:sz w:val="24"/>
          <w:highlight w:val="none"/>
          <w:lang w:val="zh-CN" w:eastAsia="zh-CN"/>
        </w:rPr>
      </w:pPr>
      <w:r>
        <w:rPr>
          <w:rFonts w:hint="eastAsia" w:ascii="宋体" w:hAnsi="宋体"/>
          <w:color w:val="auto"/>
          <w:sz w:val="24"/>
          <w:highlight w:val="none"/>
          <w:lang w:val="en-US" w:eastAsia="zh-CN"/>
        </w:rPr>
        <w:t>15.1</w:t>
      </w:r>
      <w:r>
        <w:rPr>
          <w:rFonts w:hint="eastAsia" w:ascii="宋体" w:hAnsi="宋体"/>
          <w:color w:val="auto"/>
          <w:sz w:val="24"/>
          <w:highlight w:val="none"/>
          <w:lang w:val="zh-CN" w:eastAsia="zh-CN"/>
        </w:rPr>
        <w:t>投标人代表应按《竞投公告》所规定的时间和地点递交资格审查文件。</w:t>
      </w:r>
    </w:p>
    <w:p w14:paraId="07A01E65">
      <w:pPr>
        <w:numPr>
          <w:ilvl w:val="0"/>
          <w:numId w:val="0"/>
        </w:numPr>
        <w:tabs>
          <w:tab w:val="left" w:pos="540"/>
        </w:tabs>
        <w:spacing w:line="374" w:lineRule="auto"/>
        <w:ind w:left="0" w:firstLine="0"/>
        <w:rPr>
          <w:rFonts w:hint="eastAsia" w:ascii="宋体" w:hAnsi="宋体"/>
          <w:color w:val="auto"/>
          <w:sz w:val="24"/>
          <w:highlight w:val="none"/>
          <w:lang w:val="zh-CN" w:eastAsia="zh-CN"/>
        </w:rPr>
      </w:pPr>
      <w:r>
        <w:rPr>
          <w:rFonts w:hint="eastAsia" w:ascii="宋体" w:hAnsi="宋体"/>
          <w:color w:val="auto"/>
          <w:sz w:val="24"/>
          <w:highlight w:val="none"/>
          <w:lang w:val="en-US" w:eastAsia="zh-CN"/>
        </w:rPr>
        <w:t>15.2</w:t>
      </w:r>
      <w:r>
        <w:rPr>
          <w:rFonts w:hint="eastAsia" w:ascii="宋体" w:hAnsi="宋体"/>
          <w:color w:val="auto"/>
          <w:sz w:val="24"/>
          <w:highlight w:val="none"/>
          <w:lang w:val="zh-CN" w:eastAsia="zh-CN"/>
        </w:rPr>
        <w:t>递交资格审查文件时间宣布截止后，招标代理机构将不接收任何资格审查文件。</w:t>
      </w:r>
    </w:p>
    <w:p w14:paraId="294398D4">
      <w:pPr>
        <w:numPr>
          <w:ilvl w:val="0"/>
          <w:numId w:val="20"/>
        </w:numPr>
        <w:tabs>
          <w:tab w:val="left" w:pos="540"/>
        </w:tabs>
        <w:spacing w:before="120" w:beforeLines="50" w:line="360" w:lineRule="auto"/>
        <w:ind w:left="420" w:leftChars="0" w:hanging="420" w:firstLineChars="0"/>
        <w:rPr>
          <w:rFonts w:ascii="宋体"/>
          <w:b/>
          <w:color w:val="auto"/>
          <w:sz w:val="24"/>
          <w:highlight w:val="none"/>
          <w:lang w:val="zh-CN"/>
        </w:rPr>
      </w:pPr>
      <w:r>
        <w:rPr>
          <w:rFonts w:hint="eastAsia" w:ascii="宋体" w:hAnsi="宋体"/>
          <w:b/>
          <w:color w:val="auto"/>
          <w:sz w:val="24"/>
          <w:highlight w:val="none"/>
          <w:lang w:val="zh-CN"/>
        </w:rPr>
        <w:t>评审流程及相关事项</w:t>
      </w:r>
    </w:p>
    <w:p w14:paraId="70A752CC">
      <w:pPr>
        <w:numPr>
          <w:ilvl w:val="0"/>
          <w:numId w:val="0"/>
        </w:numPr>
        <w:tabs>
          <w:tab w:val="left" w:pos="540"/>
        </w:tabs>
        <w:spacing w:line="374" w:lineRule="auto"/>
        <w:ind w:left="0" w:firstLine="0"/>
        <w:rPr>
          <w:rFonts w:hint="default" w:ascii="宋体" w:hAnsi="宋体"/>
          <w:color w:val="auto"/>
          <w:sz w:val="24"/>
          <w:highlight w:val="none"/>
          <w:lang w:val="en-US" w:eastAsia="zh-CN"/>
        </w:rPr>
      </w:pPr>
      <w:r>
        <w:rPr>
          <w:rFonts w:hint="eastAsia" w:ascii="宋体" w:hAnsi="宋体"/>
          <w:color w:val="auto"/>
          <w:sz w:val="24"/>
          <w:highlight w:val="none"/>
          <w:lang w:val="en-US" w:eastAsia="zh-CN"/>
        </w:rPr>
        <w:t>16.1由招标人代表和招标代理机构负责审查。</w:t>
      </w:r>
    </w:p>
    <w:p w14:paraId="4A9F9B4D">
      <w:pPr>
        <w:numPr>
          <w:ilvl w:val="0"/>
          <w:numId w:val="0"/>
        </w:numPr>
        <w:tabs>
          <w:tab w:val="left" w:pos="540"/>
        </w:tabs>
        <w:spacing w:line="374" w:lineRule="auto"/>
        <w:ind w:left="0" w:firstLine="0"/>
        <w:rPr>
          <w:rFonts w:hint="eastAsia" w:ascii="宋体" w:hAnsi="宋体"/>
          <w:color w:val="auto"/>
          <w:sz w:val="24"/>
          <w:highlight w:val="none"/>
          <w:lang w:val="zh-CN" w:eastAsia="zh-CN"/>
        </w:rPr>
      </w:pPr>
      <w:r>
        <w:rPr>
          <w:rFonts w:hint="eastAsia" w:ascii="宋体" w:hAnsi="宋体"/>
          <w:color w:val="auto"/>
          <w:sz w:val="24"/>
          <w:highlight w:val="none"/>
          <w:lang w:val="en-US" w:eastAsia="zh-CN"/>
        </w:rPr>
        <w:t>16.2</w:t>
      </w:r>
      <w:r>
        <w:rPr>
          <w:rFonts w:hint="eastAsia" w:ascii="宋体" w:hAnsi="宋体"/>
          <w:color w:val="auto"/>
          <w:sz w:val="24"/>
          <w:highlight w:val="none"/>
          <w:lang w:val="zh-CN" w:eastAsia="zh-CN"/>
        </w:rPr>
        <w:t>评审方法：合格制，合资格的投标人全部通过。</w:t>
      </w:r>
    </w:p>
    <w:p w14:paraId="53DD40EF">
      <w:pPr>
        <w:numPr>
          <w:ilvl w:val="0"/>
          <w:numId w:val="0"/>
        </w:numPr>
        <w:tabs>
          <w:tab w:val="left" w:pos="540"/>
        </w:tabs>
        <w:spacing w:line="374" w:lineRule="auto"/>
        <w:ind w:left="0" w:firstLine="0"/>
        <w:rPr>
          <w:rFonts w:hint="eastAsia" w:ascii="宋体" w:hAnsi="宋体"/>
          <w:color w:val="auto"/>
          <w:sz w:val="24"/>
          <w:highlight w:val="none"/>
          <w:lang w:val="zh-CN" w:eastAsia="zh-CN"/>
        </w:rPr>
      </w:pPr>
      <w:r>
        <w:rPr>
          <w:rFonts w:hint="eastAsia" w:ascii="宋体" w:hAnsi="宋体"/>
          <w:color w:val="auto"/>
          <w:sz w:val="24"/>
          <w:highlight w:val="none"/>
          <w:lang w:val="en-US" w:eastAsia="zh-CN"/>
        </w:rPr>
        <w:t>16.3</w:t>
      </w:r>
      <w:r>
        <w:rPr>
          <w:rFonts w:hint="eastAsia" w:ascii="宋体" w:hAnsi="宋体"/>
          <w:color w:val="auto"/>
          <w:sz w:val="24"/>
          <w:highlight w:val="none"/>
          <w:lang w:val="zh-CN" w:eastAsia="zh-CN"/>
        </w:rPr>
        <w:t>评审程序：</w:t>
      </w:r>
    </w:p>
    <w:p w14:paraId="1D887AC7">
      <w:pPr>
        <w:numPr>
          <w:ilvl w:val="0"/>
          <w:numId w:val="0"/>
        </w:numPr>
        <w:tabs>
          <w:tab w:val="left" w:pos="540"/>
        </w:tabs>
        <w:spacing w:line="374" w:lineRule="auto"/>
        <w:ind w:left="0" w:firstLine="0"/>
        <w:rPr>
          <w:rFonts w:ascii="宋体"/>
          <w:color w:val="auto"/>
          <w:sz w:val="24"/>
          <w:highlight w:val="none"/>
          <w:lang w:val="zh-CN"/>
        </w:rPr>
      </w:pPr>
      <w:r>
        <w:rPr>
          <w:rFonts w:hint="eastAsia" w:ascii="宋体" w:hAnsi="宋体"/>
          <w:color w:val="auto"/>
          <w:sz w:val="24"/>
          <w:highlight w:val="none"/>
          <w:lang w:val="zh-CN" w:eastAsia="zh-CN"/>
        </w:rPr>
        <w:t>对投标人的资格性检查：由招标人或招标代理机构根据本项目《竞投文件》的规定，对照《资格审</w:t>
      </w:r>
      <w:r>
        <w:rPr>
          <w:rFonts w:hint="eastAsia" w:ascii="宋体" w:hAnsi="宋体"/>
          <w:color w:val="auto"/>
          <w:sz w:val="24"/>
          <w:highlight w:val="none"/>
          <w:lang w:val="zh-CN"/>
        </w:rPr>
        <w:t>查文件》中</w:t>
      </w:r>
      <w:r>
        <w:rPr>
          <w:rFonts w:hint="eastAsia" w:ascii="宋体" w:hAnsi="宋体"/>
          <w:b/>
          <w:color w:val="auto"/>
          <w:sz w:val="24"/>
          <w:highlight w:val="none"/>
          <w:u w:val="single"/>
          <w:lang w:val="zh-CN"/>
        </w:rPr>
        <w:t>“资格性文件清单”</w:t>
      </w:r>
      <w:r>
        <w:rPr>
          <w:rFonts w:hint="eastAsia" w:ascii="宋体" w:hAnsi="宋体"/>
          <w:color w:val="auto"/>
          <w:sz w:val="24"/>
          <w:highlight w:val="none"/>
          <w:lang w:val="zh-CN"/>
        </w:rPr>
        <w:t>的内容和要求进行审查，以确定投标人是否符合竞投资格。通过资格性检查，可判定投标人的资格审查文件是否符合竞投文件的要求。对于上述审查内容，投标人必须响应，否则其资格审查文件作无效处理。</w:t>
      </w:r>
    </w:p>
    <w:p w14:paraId="561F99FC">
      <w:pPr>
        <w:numPr>
          <w:ilvl w:val="0"/>
          <w:numId w:val="20"/>
        </w:numPr>
        <w:tabs>
          <w:tab w:val="left" w:pos="540"/>
          <w:tab w:val="left" w:pos="987"/>
        </w:tabs>
        <w:spacing w:before="120" w:beforeLines="50" w:line="360" w:lineRule="auto"/>
        <w:ind w:left="420" w:leftChars="0" w:hanging="420" w:firstLineChars="0"/>
        <w:rPr>
          <w:rFonts w:ascii="宋体"/>
          <w:b/>
          <w:color w:val="auto"/>
          <w:sz w:val="24"/>
          <w:highlight w:val="none"/>
          <w:lang w:val="zh-CN"/>
        </w:rPr>
      </w:pPr>
      <w:r>
        <w:rPr>
          <w:rFonts w:hint="eastAsia" w:ascii="宋体" w:hAnsi="宋体"/>
          <w:b/>
          <w:color w:val="auto"/>
          <w:sz w:val="24"/>
          <w:highlight w:val="none"/>
          <w:lang w:val="zh-CN"/>
        </w:rPr>
        <w:t>废标条件</w:t>
      </w:r>
    </w:p>
    <w:p w14:paraId="327F5D3D">
      <w:pPr>
        <w:numPr>
          <w:ilvl w:val="0"/>
          <w:numId w:val="0"/>
        </w:numPr>
        <w:tabs>
          <w:tab w:val="left" w:pos="540"/>
        </w:tabs>
        <w:spacing w:line="374" w:lineRule="auto"/>
        <w:ind w:left="0" w:firstLine="0"/>
        <w:rPr>
          <w:color w:val="auto"/>
          <w:sz w:val="24"/>
          <w:highlight w:val="none"/>
          <w:lang w:val="en-GB"/>
        </w:rPr>
      </w:pPr>
      <w:r>
        <w:rPr>
          <w:rFonts w:hint="eastAsia"/>
          <w:color w:val="auto"/>
          <w:sz w:val="24"/>
          <w:highlight w:val="none"/>
          <w:lang w:val="en-GB"/>
        </w:rPr>
        <w:t>本项目</w:t>
      </w:r>
      <w:r>
        <w:rPr>
          <w:rFonts w:hint="eastAsia"/>
          <w:color w:val="auto"/>
          <w:sz w:val="24"/>
          <w:szCs w:val="20"/>
          <w:highlight w:val="none"/>
        </w:rPr>
        <w:t>出现</w:t>
      </w:r>
      <w:r>
        <w:rPr>
          <w:rFonts w:hint="eastAsia" w:ascii="宋体" w:hAnsi="宋体"/>
          <w:color w:val="auto"/>
          <w:sz w:val="24"/>
          <w:highlight w:val="none"/>
          <w:lang w:val="en-US" w:eastAsia="zh-CN"/>
        </w:rPr>
        <w:t>下列</w:t>
      </w:r>
      <w:r>
        <w:rPr>
          <w:rFonts w:hint="eastAsia"/>
          <w:color w:val="auto"/>
          <w:sz w:val="24"/>
          <w:szCs w:val="20"/>
          <w:highlight w:val="none"/>
        </w:rPr>
        <w:t>条件之一则对应定作废标：</w:t>
      </w:r>
    </w:p>
    <w:p w14:paraId="12E35FAD">
      <w:pPr>
        <w:numPr>
          <w:ilvl w:val="0"/>
          <w:numId w:val="25"/>
        </w:numPr>
        <w:spacing w:line="360" w:lineRule="auto"/>
        <w:ind w:left="993" w:hanging="709"/>
        <w:rPr>
          <w:rFonts w:ascii="宋体" w:hAnsi="宋体"/>
          <w:color w:val="auto"/>
          <w:sz w:val="24"/>
          <w:highlight w:val="none"/>
          <w:lang w:val="en-GB"/>
        </w:rPr>
      </w:pPr>
      <w:r>
        <w:rPr>
          <w:rFonts w:hint="eastAsia" w:ascii="宋体" w:hAnsi="宋体"/>
          <w:color w:val="auto"/>
          <w:sz w:val="24"/>
          <w:highlight w:val="none"/>
          <w:lang w:val="en-GB" w:eastAsia="zh-CN"/>
        </w:rPr>
        <w:t>竞投</w:t>
      </w:r>
      <w:r>
        <w:rPr>
          <w:rFonts w:ascii="宋体" w:hAnsi="宋体"/>
          <w:color w:val="auto"/>
          <w:sz w:val="24"/>
          <w:highlight w:val="none"/>
          <w:lang w:val="en-GB"/>
        </w:rPr>
        <w:t>过程出现影响公平竞争的违法、违规行为</w:t>
      </w:r>
      <w:r>
        <w:rPr>
          <w:rFonts w:hint="eastAsia" w:ascii="宋体" w:hAnsi="宋体"/>
          <w:color w:val="auto"/>
          <w:sz w:val="24"/>
          <w:highlight w:val="none"/>
          <w:lang w:val="en-GB"/>
        </w:rPr>
        <w:t>。</w:t>
      </w:r>
    </w:p>
    <w:p w14:paraId="2C64FFE8">
      <w:pPr>
        <w:numPr>
          <w:ilvl w:val="0"/>
          <w:numId w:val="25"/>
        </w:numPr>
        <w:spacing w:line="360" w:lineRule="auto"/>
        <w:ind w:left="993" w:hanging="709"/>
        <w:rPr>
          <w:rFonts w:ascii="宋体" w:hAnsi="宋体"/>
          <w:color w:val="auto"/>
          <w:sz w:val="24"/>
          <w:highlight w:val="none"/>
          <w:lang w:val="en-GB"/>
        </w:rPr>
      </w:pPr>
      <w:r>
        <w:rPr>
          <w:rFonts w:ascii="宋体" w:hAnsi="宋体"/>
          <w:color w:val="auto"/>
          <w:sz w:val="24"/>
          <w:highlight w:val="none"/>
          <w:lang w:val="en-GB"/>
        </w:rPr>
        <w:t>因重大变故，</w:t>
      </w:r>
      <w:r>
        <w:rPr>
          <w:rFonts w:hint="eastAsia" w:ascii="宋体" w:hAnsi="宋体"/>
          <w:color w:val="auto"/>
          <w:sz w:val="24"/>
          <w:highlight w:val="none"/>
          <w:lang w:val="en-GB"/>
        </w:rPr>
        <w:t>采购</w:t>
      </w:r>
      <w:r>
        <w:rPr>
          <w:rFonts w:ascii="宋体" w:hAnsi="宋体"/>
          <w:color w:val="auto"/>
          <w:sz w:val="24"/>
          <w:highlight w:val="none"/>
          <w:lang w:val="en-GB"/>
        </w:rPr>
        <w:t>任务取消的。</w:t>
      </w:r>
    </w:p>
    <w:p w14:paraId="3727E4CB">
      <w:pPr>
        <w:numPr>
          <w:ilvl w:val="0"/>
          <w:numId w:val="20"/>
        </w:numPr>
        <w:tabs>
          <w:tab w:val="left" w:pos="540"/>
          <w:tab w:val="left" w:pos="987"/>
        </w:tabs>
        <w:spacing w:before="120" w:beforeLines="50" w:line="360" w:lineRule="auto"/>
        <w:ind w:left="420" w:leftChars="0" w:hanging="420" w:firstLineChars="0"/>
        <w:rPr>
          <w:rFonts w:ascii="宋体"/>
          <w:b/>
          <w:color w:val="auto"/>
          <w:sz w:val="24"/>
          <w:highlight w:val="none"/>
          <w:lang w:val="zh-CN"/>
        </w:rPr>
      </w:pPr>
      <w:r>
        <w:rPr>
          <w:rFonts w:hint="eastAsia" w:ascii="宋体" w:hAnsi="宋体"/>
          <w:b/>
          <w:color w:val="auto"/>
          <w:sz w:val="24"/>
          <w:highlight w:val="none"/>
          <w:lang w:val="zh-CN"/>
        </w:rPr>
        <w:t>无效竞投</w:t>
      </w:r>
    </w:p>
    <w:p w14:paraId="64B4B901">
      <w:pPr>
        <w:numPr>
          <w:ilvl w:val="0"/>
          <w:numId w:val="0"/>
        </w:numPr>
        <w:tabs>
          <w:tab w:val="left" w:pos="540"/>
        </w:tabs>
        <w:spacing w:line="374" w:lineRule="auto"/>
        <w:ind w:left="0" w:firstLine="0"/>
        <w:rPr>
          <w:rFonts w:hint="eastAsia" w:ascii="宋体" w:hAnsi="宋体"/>
          <w:color w:val="auto"/>
          <w:sz w:val="24"/>
          <w:highlight w:val="none"/>
          <w:lang w:val="en-GB" w:eastAsia="zh-CN"/>
        </w:rPr>
      </w:pPr>
      <w:r>
        <w:rPr>
          <w:rFonts w:hint="eastAsia" w:ascii="宋体" w:hAnsi="宋体"/>
          <w:color w:val="auto"/>
          <w:sz w:val="24"/>
          <w:highlight w:val="none"/>
          <w:lang w:val="en-US" w:eastAsia="zh-CN"/>
        </w:rPr>
        <w:t>18.1无效竞投行为的认定，投标人存在下列情况之一的，竞投无效：</w:t>
      </w:r>
    </w:p>
    <w:p w14:paraId="7DC7BE6E">
      <w:pPr>
        <w:numPr>
          <w:ilvl w:val="0"/>
          <w:numId w:val="26"/>
        </w:numPr>
        <w:tabs>
          <w:tab w:val="left" w:pos="170"/>
        </w:tabs>
        <w:spacing w:line="360" w:lineRule="auto"/>
        <w:ind w:left="993" w:hanging="709"/>
        <w:rPr>
          <w:rFonts w:ascii="宋体" w:hAnsi="宋体"/>
          <w:color w:val="auto"/>
          <w:sz w:val="24"/>
          <w:highlight w:val="none"/>
          <w:lang w:val="en-GB"/>
        </w:rPr>
      </w:pPr>
      <w:r>
        <w:rPr>
          <w:rFonts w:ascii="宋体" w:hAnsi="宋体"/>
          <w:color w:val="auto"/>
          <w:sz w:val="24"/>
          <w:highlight w:val="none"/>
          <w:lang w:val="en-GB"/>
        </w:rPr>
        <w:t>未按照</w:t>
      </w:r>
      <w:r>
        <w:rPr>
          <w:rFonts w:hint="eastAsia" w:ascii="宋体" w:hAnsi="宋体"/>
          <w:color w:val="auto"/>
          <w:sz w:val="24"/>
          <w:highlight w:val="none"/>
          <w:lang w:val="en-GB" w:eastAsia="zh-CN"/>
        </w:rPr>
        <w:t>竞投文件</w:t>
      </w:r>
      <w:r>
        <w:rPr>
          <w:rFonts w:ascii="宋体" w:hAnsi="宋体"/>
          <w:color w:val="auto"/>
          <w:sz w:val="24"/>
          <w:highlight w:val="none"/>
          <w:lang w:val="en-GB"/>
        </w:rPr>
        <w:t>的规定提交保证金的。</w:t>
      </w:r>
    </w:p>
    <w:p w14:paraId="751A0CC2">
      <w:pPr>
        <w:numPr>
          <w:ilvl w:val="0"/>
          <w:numId w:val="26"/>
        </w:numPr>
        <w:tabs>
          <w:tab w:val="left" w:pos="170"/>
        </w:tabs>
        <w:spacing w:line="360" w:lineRule="auto"/>
        <w:ind w:left="993" w:hanging="709"/>
        <w:rPr>
          <w:rFonts w:ascii="宋体" w:hAnsi="宋体"/>
          <w:color w:val="auto"/>
          <w:sz w:val="24"/>
          <w:highlight w:val="none"/>
          <w:lang w:val="en-GB"/>
        </w:rPr>
      </w:pPr>
      <w:r>
        <w:rPr>
          <w:rFonts w:hint="eastAsia" w:ascii="宋体" w:hAnsi="宋体"/>
          <w:color w:val="auto"/>
          <w:sz w:val="24"/>
          <w:highlight w:val="none"/>
          <w:lang w:val="en-GB" w:eastAsia="zh-CN"/>
        </w:rPr>
        <w:t>资格审查</w:t>
      </w:r>
      <w:r>
        <w:rPr>
          <w:rFonts w:ascii="宋体" w:hAnsi="宋体"/>
          <w:color w:val="auto"/>
          <w:sz w:val="24"/>
          <w:highlight w:val="none"/>
          <w:lang w:val="en-GB"/>
        </w:rPr>
        <w:t>文件未按</w:t>
      </w:r>
      <w:r>
        <w:rPr>
          <w:rFonts w:hint="eastAsia" w:ascii="宋体" w:hAnsi="宋体"/>
          <w:color w:val="auto"/>
          <w:sz w:val="24"/>
          <w:highlight w:val="none"/>
          <w:lang w:val="en-GB" w:eastAsia="zh-CN"/>
        </w:rPr>
        <w:t>竞投文件</w:t>
      </w:r>
      <w:r>
        <w:rPr>
          <w:rFonts w:ascii="宋体" w:hAnsi="宋体"/>
          <w:color w:val="auto"/>
          <w:sz w:val="24"/>
          <w:highlight w:val="none"/>
          <w:lang w:val="en-GB"/>
        </w:rPr>
        <w:t>要求签署、盖章的。</w:t>
      </w:r>
    </w:p>
    <w:p w14:paraId="0387A272">
      <w:pPr>
        <w:numPr>
          <w:ilvl w:val="0"/>
          <w:numId w:val="26"/>
        </w:numPr>
        <w:tabs>
          <w:tab w:val="left" w:pos="170"/>
        </w:tabs>
        <w:spacing w:line="360" w:lineRule="auto"/>
        <w:ind w:left="993" w:hanging="709"/>
        <w:rPr>
          <w:rFonts w:ascii="宋体" w:hAnsi="宋体"/>
          <w:color w:val="auto"/>
          <w:sz w:val="24"/>
          <w:highlight w:val="none"/>
          <w:lang w:val="en-GB"/>
        </w:rPr>
      </w:pPr>
      <w:r>
        <w:rPr>
          <w:rFonts w:ascii="宋体" w:hAnsi="宋体"/>
          <w:color w:val="auto"/>
          <w:sz w:val="24"/>
          <w:highlight w:val="none"/>
          <w:lang w:val="en-GB"/>
        </w:rPr>
        <w:t>不具备</w:t>
      </w:r>
      <w:r>
        <w:rPr>
          <w:rFonts w:hint="eastAsia" w:ascii="宋体" w:hAnsi="宋体"/>
          <w:color w:val="auto"/>
          <w:sz w:val="24"/>
          <w:highlight w:val="none"/>
          <w:lang w:val="en-GB" w:eastAsia="zh-CN"/>
        </w:rPr>
        <w:t>竞投文件</w:t>
      </w:r>
      <w:r>
        <w:rPr>
          <w:rFonts w:ascii="宋体" w:hAnsi="宋体"/>
          <w:color w:val="auto"/>
          <w:sz w:val="24"/>
          <w:highlight w:val="none"/>
          <w:lang w:val="en-GB"/>
        </w:rPr>
        <w:t>规定的资格要求的。</w:t>
      </w:r>
    </w:p>
    <w:p w14:paraId="7906147F">
      <w:pPr>
        <w:numPr>
          <w:ilvl w:val="0"/>
          <w:numId w:val="26"/>
        </w:numPr>
        <w:tabs>
          <w:tab w:val="left" w:pos="170"/>
        </w:tabs>
        <w:spacing w:line="360" w:lineRule="auto"/>
        <w:ind w:left="993" w:hanging="709"/>
        <w:rPr>
          <w:rFonts w:ascii="宋体" w:hAnsi="宋体"/>
          <w:color w:val="auto"/>
          <w:sz w:val="24"/>
          <w:highlight w:val="none"/>
          <w:lang w:val="en-GB"/>
        </w:rPr>
      </w:pPr>
      <w:r>
        <w:rPr>
          <w:rFonts w:ascii="宋体" w:hAnsi="宋体"/>
          <w:color w:val="auto"/>
          <w:sz w:val="24"/>
          <w:highlight w:val="none"/>
          <w:lang w:val="en-GB"/>
        </w:rPr>
        <w:t>报价</w:t>
      </w:r>
      <w:r>
        <w:rPr>
          <w:rFonts w:hint="eastAsia" w:ascii="宋体" w:hAnsi="宋体"/>
          <w:color w:val="auto"/>
          <w:sz w:val="24"/>
          <w:highlight w:val="none"/>
          <w:lang w:val="en-GB" w:eastAsia="zh-CN"/>
        </w:rPr>
        <w:t>低于竞投文件</w:t>
      </w:r>
      <w:r>
        <w:rPr>
          <w:rFonts w:ascii="宋体" w:hAnsi="宋体"/>
          <w:color w:val="auto"/>
          <w:sz w:val="24"/>
          <w:highlight w:val="none"/>
          <w:lang w:val="en-GB"/>
        </w:rPr>
        <w:t>中规定的</w:t>
      </w:r>
      <w:r>
        <w:rPr>
          <w:rFonts w:hint="eastAsia" w:ascii="宋体" w:hAnsi="宋体"/>
          <w:color w:val="auto"/>
          <w:sz w:val="24"/>
          <w:highlight w:val="none"/>
          <w:lang w:val="en-US" w:eastAsia="zh-CN"/>
        </w:rPr>
        <w:t>底</w:t>
      </w:r>
      <w:r>
        <w:rPr>
          <w:rFonts w:ascii="宋体" w:hAnsi="宋体"/>
          <w:color w:val="auto"/>
          <w:sz w:val="24"/>
          <w:highlight w:val="none"/>
          <w:lang w:val="en-GB"/>
        </w:rPr>
        <w:t>价的。</w:t>
      </w:r>
    </w:p>
    <w:p w14:paraId="0352A79F">
      <w:pPr>
        <w:numPr>
          <w:ilvl w:val="0"/>
          <w:numId w:val="26"/>
        </w:numPr>
        <w:tabs>
          <w:tab w:val="left" w:pos="170"/>
        </w:tabs>
        <w:spacing w:line="360" w:lineRule="auto"/>
        <w:ind w:left="993" w:hanging="709"/>
        <w:rPr>
          <w:rFonts w:ascii="宋体" w:hAnsi="宋体"/>
          <w:color w:val="auto"/>
          <w:sz w:val="24"/>
          <w:highlight w:val="none"/>
          <w:lang w:val="en-GB"/>
        </w:rPr>
      </w:pPr>
      <w:r>
        <w:rPr>
          <w:rFonts w:hint="eastAsia" w:ascii="宋体" w:hAnsi="宋体"/>
          <w:color w:val="auto"/>
          <w:sz w:val="24"/>
          <w:highlight w:val="none"/>
          <w:lang w:val="en-GB" w:eastAsia="zh-CN"/>
        </w:rPr>
        <w:t>资格审查</w:t>
      </w:r>
      <w:r>
        <w:rPr>
          <w:rFonts w:ascii="宋体" w:hAnsi="宋体"/>
          <w:color w:val="auto"/>
          <w:sz w:val="24"/>
          <w:highlight w:val="none"/>
          <w:lang w:val="en-GB"/>
        </w:rPr>
        <w:t>文件含有</w:t>
      </w:r>
      <w:r>
        <w:rPr>
          <w:rFonts w:hint="eastAsia" w:ascii="宋体" w:hAnsi="宋体"/>
          <w:color w:val="auto"/>
          <w:sz w:val="24"/>
          <w:highlight w:val="none"/>
          <w:lang w:val="en-GB" w:eastAsia="zh-CN"/>
        </w:rPr>
        <w:t>招标人</w:t>
      </w:r>
      <w:r>
        <w:rPr>
          <w:rFonts w:ascii="宋体" w:hAnsi="宋体"/>
          <w:color w:val="auto"/>
          <w:sz w:val="24"/>
          <w:highlight w:val="none"/>
          <w:lang w:val="en-GB"/>
        </w:rPr>
        <w:t>不能接受的附加条件的。</w:t>
      </w:r>
    </w:p>
    <w:p w14:paraId="4B3B9BB4">
      <w:pPr>
        <w:numPr>
          <w:ilvl w:val="0"/>
          <w:numId w:val="26"/>
        </w:numPr>
        <w:tabs>
          <w:tab w:val="left" w:pos="170"/>
        </w:tabs>
        <w:spacing w:line="360" w:lineRule="auto"/>
        <w:ind w:left="993" w:hanging="709"/>
        <w:rPr>
          <w:rFonts w:ascii="宋体" w:hAnsi="宋体"/>
          <w:color w:val="auto"/>
          <w:sz w:val="24"/>
          <w:highlight w:val="none"/>
          <w:lang w:val="en-GB"/>
        </w:rPr>
      </w:pPr>
      <w:r>
        <w:rPr>
          <w:rFonts w:ascii="宋体" w:hAnsi="宋体"/>
          <w:color w:val="auto"/>
          <w:sz w:val="24"/>
          <w:highlight w:val="none"/>
          <w:lang w:val="en-GB"/>
        </w:rPr>
        <w:t>法律、法规或</w:t>
      </w:r>
      <w:r>
        <w:rPr>
          <w:rFonts w:hint="eastAsia" w:ascii="宋体" w:hAnsi="宋体"/>
          <w:color w:val="auto"/>
          <w:sz w:val="24"/>
          <w:highlight w:val="none"/>
          <w:lang w:val="en-GB" w:eastAsia="zh-CN"/>
        </w:rPr>
        <w:t>竞投文件</w:t>
      </w:r>
      <w:r>
        <w:rPr>
          <w:rFonts w:ascii="宋体" w:hAnsi="宋体"/>
          <w:color w:val="auto"/>
          <w:sz w:val="24"/>
          <w:highlight w:val="none"/>
          <w:lang w:val="en-GB"/>
        </w:rPr>
        <w:t>规定的其他无效情形的。</w:t>
      </w:r>
    </w:p>
    <w:p w14:paraId="40E2E79E">
      <w:pPr>
        <w:numPr>
          <w:ilvl w:val="0"/>
          <w:numId w:val="0"/>
        </w:numPr>
        <w:tabs>
          <w:tab w:val="left" w:pos="540"/>
        </w:tabs>
        <w:spacing w:line="374" w:lineRule="auto"/>
        <w:ind w:left="0" w:firstLine="0"/>
        <w:rPr>
          <w:rFonts w:hint="eastAsia" w:ascii="宋体" w:hAnsi="宋体"/>
          <w:color w:val="auto"/>
          <w:sz w:val="24"/>
          <w:highlight w:val="none"/>
          <w:lang w:val="en-GB" w:eastAsia="zh-CN"/>
        </w:rPr>
      </w:pPr>
      <w:r>
        <w:rPr>
          <w:rFonts w:hint="eastAsia" w:ascii="宋体" w:hAnsi="宋体"/>
          <w:color w:val="auto"/>
          <w:sz w:val="24"/>
          <w:highlight w:val="none"/>
          <w:lang w:val="en-US" w:eastAsia="zh-CN"/>
        </w:rPr>
        <w:t>18.2</w:t>
      </w:r>
      <w:r>
        <w:rPr>
          <w:rFonts w:hint="eastAsia" w:ascii="宋体" w:hAnsi="宋体"/>
          <w:color w:val="auto"/>
          <w:sz w:val="24"/>
          <w:highlight w:val="none"/>
          <w:lang w:val="en-GB" w:eastAsia="zh-CN"/>
        </w:rPr>
        <w:t>有下列情形之一的，视为投标人串通竞投，其竞投无效：</w:t>
      </w:r>
    </w:p>
    <w:p w14:paraId="3CA0D33A">
      <w:pPr>
        <w:numPr>
          <w:ilvl w:val="0"/>
          <w:numId w:val="27"/>
        </w:numPr>
        <w:tabs>
          <w:tab w:val="left" w:pos="170"/>
        </w:tabs>
        <w:spacing w:line="360" w:lineRule="auto"/>
        <w:ind w:left="993" w:hanging="709"/>
        <w:rPr>
          <w:rFonts w:ascii="宋体" w:hAnsi="宋体"/>
          <w:color w:val="auto"/>
          <w:sz w:val="24"/>
          <w:highlight w:val="none"/>
          <w:lang w:val="en-GB"/>
        </w:rPr>
      </w:pPr>
      <w:r>
        <w:rPr>
          <w:rFonts w:ascii="宋体" w:hAnsi="宋体"/>
          <w:color w:val="auto"/>
          <w:sz w:val="24"/>
          <w:highlight w:val="none"/>
          <w:lang w:val="en-GB"/>
        </w:rPr>
        <w:t>不同</w:t>
      </w:r>
      <w:r>
        <w:rPr>
          <w:rFonts w:hint="eastAsia" w:ascii="宋体" w:hAnsi="宋体"/>
          <w:color w:val="auto"/>
          <w:sz w:val="24"/>
          <w:highlight w:val="none"/>
          <w:lang w:val="en-GB" w:eastAsia="zh-CN"/>
        </w:rPr>
        <w:t>投标人</w:t>
      </w:r>
      <w:r>
        <w:rPr>
          <w:rFonts w:ascii="宋体" w:hAnsi="宋体"/>
          <w:color w:val="auto"/>
          <w:sz w:val="24"/>
          <w:highlight w:val="none"/>
          <w:lang w:val="en-GB"/>
        </w:rPr>
        <w:t>的</w:t>
      </w:r>
      <w:r>
        <w:rPr>
          <w:rFonts w:hint="eastAsia" w:ascii="宋体" w:hAnsi="宋体"/>
          <w:color w:val="auto"/>
          <w:sz w:val="24"/>
          <w:highlight w:val="none"/>
          <w:lang w:val="en-GB" w:eastAsia="zh-CN"/>
        </w:rPr>
        <w:t>资格审查</w:t>
      </w:r>
      <w:r>
        <w:rPr>
          <w:rFonts w:ascii="宋体" w:hAnsi="宋体"/>
          <w:color w:val="auto"/>
          <w:sz w:val="24"/>
          <w:highlight w:val="none"/>
          <w:lang w:val="en-GB"/>
        </w:rPr>
        <w:t>文件由同一单位或者个人编制。</w:t>
      </w:r>
    </w:p>
    <w:p w14:paraId="0E8BEAF3">
      <w:pPr>
        <w:numPr>
          <w:ilvl w:val="0"/>
          <w:numId w:val="27"/>
        </w:numPr>
        <w:tabs>
          <w:tab w:val="left" w:pos="170"/>
        </w:tabs>
        <w:spacing w:line="360" w:lineRule="auto"/>
        <w:ind w:left="993" w:hanging="709"/>
        <w:rPr>
          <w:rFonts w:ascii="宋体" w:hAnsi="宋体"/>
          <w:color w:val="auto"/>
          <w:sz w:val="24"/>
          <w:highlight w:val="none"/>
          <w:lang w:val="en-GB"/>
        </w:rPr>
      </w:pPr>
      <w:r>
        <w:rPr>
          <w:rFonts w:ascii="宋体" w:hAnsi="宋体"/>
          <w:color w:val="auto"/>
          <w:sz w:val="24"/>
          <w:highlight w:val="none"/>
          <w:lang w:val="en-GB"/>
        </w:rPr>
        <w:t>不同</w:t>
      </w:r>
      <w:r>
        <w:rPr>
          <w:rFonts w:hint="eastAsia" w:ascii="宋体" w:hAnsi="宋体"/>
          <w:color w:val="auto"/>
          <w:sz w:val="24"/>
          <w:highlight w:val="none"/>
          <w:lang w:val="en-GB" w:eastAsia="zh-CN"/>
        </w:rPr>
        <w:t>投标人</w:t>
      </w:r>
      <w:r>
        <w:rPr>
          <w:rFonts w:ascii="宋体" w:hAnsi="宋体"/>
          <w:color w:val="auto"/>
          <w:sz w:val="24"/>
          <w:highlight w:val="none"/>
          <w:lang w:val="en-GB"/>
        </w:rPr>
        <w:t>委托同一单位或者个人办理</w:t>
      </w:r>
      <w:r>
        <w:rPr>
          <w:rFonts w:hint="eastAsia" w:ascii="宋体" w:hAnsi="宋体"/>
          <w:color w:val="auto"/>
          <w:sz w:val="24"/>
          <w:highlight w:val="none"/>
          <w:lang w:val="en-GB" w:eastAsia="zh-CN"/>
        </w:rPr>
        <w:t>竞投</w:t>
      </w:r>
      <w:r>
        <w:rPr>
          <w:rFonts w:ascii="宋体" w:hAnsi="宋体"/>
          <w:color w:val="auto"/>
          <w:sz w:val="24"/>
          <w:highlight w:val="none"/>
          <w:lang w:val="en-GB"/>
        </w:rPr>
        <w:t>事宜。</w:t>
      </w:r>
    </w:p>
    <w:p w14:paraId="3F959F28">
      <w:pPr>
        <w:numPr>
          <w:ilvl w:val="0"/>
          <w:numId w:val="27"/>
        </w:numPr>
        <w:tabs>
          <w:tab w:val="left" w:pos="170"/>
        </w:tabs>
        <w:spacing w:line="360" w:lineRule="auto"/>
        <w:ind w:left="993" w:hanging="709"/>
        <w:rPr>
          <w:rFonts w:ascii="宋体" w:hAnsi="宋体"/>
          <w:color w:val="auto"/>
          <w:sz w:val="24"/>
          <w:highlight w:val="none"/>
          <w:lang w:val="en-GB"/>
        </w:rPr>
      </w:pPr>
      <w:r>
        <w:rPr>
          <w:rFonts w:ascii="宋体" w:hAnsi="宋体"/>
          <w:color w:val="auto"/>
          <w:sz w:val="24"/>
          <w:highlight w:val="none"/>
          <w:lang w:val="en-GB"/>
        </w:rPr>
        <w:t>不同</w:t>
      </w:r>
      <w:r>
        <w:rPr>
          <w:rFonts w:hint="eastAsia" w:ascii="宋体" w:hAnsi="宋体"/>
          <w:color w:val="auto"/>
          <w:sz w:val="24"/>
          <w:highlight w:val="none"/>
          <w:lang w:val="en-GB" w:eastAsia="zh-CN"/>
        </w:rPr>
        <w:t>投标人</w:t>
      </w:r>
      <w:r>
        <w:rPr>
          <w:rFonts w:ascii="宋体" w:hAnsi="宋体"/>
          <w:color w:val="auto"/>
          <w:sz w:val="24"/>
          <w:highlight w:val="none"/>
          <w:lang w:val="en-GB"/>
        </w:rPr>
        <w:t>的</w:t>
      </w:r>
      <w:r>
        <w:rPr>
          <w:rFonts w:hint="eastAsia" w:ascii="宋体" w:hAnsi="宋体"/>
          <w:color w:val="auto"/>
          <w:sz w:val="24"/>
          <w:highlight w:val="none"/>
          <w:lang w:val="en-GB" w:eastAsia="zh-CN"/>
        </w:rPr>
        <w:t>资格审查</w:t>
      </w:r>
      <w:r>
        <w:rPr>
          <w:rFonts w:ascii="宋体" w:hAnsi="宋体"/>
          <w:color w:val="auto"/>
          <w:sz w:val="24"/>
          <w:highlight w:val="none"/>
          <w:lang w:val="en-GB"/>
        </w:rPr>
        <w:t>文件载明的</w:t>
      </w:r>
      <w:r>
        <w:rPr>
          <w:rFonts w:hint="eastAsia" w:ascii="宋体" w:hAnsi="宋体"/>
          <w:color w:val="auto"/>
          <w:sz w:val="24"/>
          <w:highlight w:val="none"/>
          <w:lang w:val="en-GB" w:eastAsia="zh-CN"/>
        </w:rPr>
        <w:t>授权代理人</w:t>
      </w:r>
      <w:r>
        <w:rPr>
          <w:rFonts w:ascii="宋体" w:hAnsi="宋体"/>
          <w:color w:val="auto"/>
          <w:sz w:val="24"/>
          <w:highlight w:val="none"/>
          <w:lang w:val="en-GB"/>
        </w:rPr>
        <w:t>或者联系人员为同一人。</w:t>
      </w:r>
    </w:p>
    <w:p w14:paraId="1E30762F">
      <w:pPr>
        <w:numPr>
          <w:ilvl w:val="0"/>
          <w:numId w:val="27"/>
        </w:numPr>
        <w:tabs>
          <w:tab w:val="left" w:pos="170"/>
        </w:tabs>
        <w:spacing w:line="360" w:lineRule="auto"/>
        <w:ind w:left="993" w:hanging="709"/>
        <w:rPr>
          <w:rFonts w:ascii="宋体" w:hAnsi="宋体"/>
          <w:color w:val="auto"/>
          <w:sz w:val="24"/>
          <w:highlight w:val="none"/>
          <w:lang w:val="en-GB"/>
        </w:rPr>
      </w:pPr>
      <w:r>
        <w:rPr>
          <w:rFonts w:ascii="宋体" w:hAnsi="宋体"/>
          <w:color w:val="auto"/>
          <w:sz w:val="24"/>
          <w:highlight w:val="none"/>
          <w:lang w:val="en-GB"/>
        </w:rPr>
        <w:t>不同</w:t>
      </w:r>
      <w:r>
        <w:rPr>
          <w:rFonts w:hint="eastAsia" w:ascii="宋体" w:hAnsi="宋体"/>
          <w:color w:val="auto"/>
          <w:sz w:val="24"/>
          <w:highlight w:val="none"/>
          <w:lang w:val="en-GB" w:eastAsia="zh-CN"/>
        </w:rPr>
        <w:t>投标人</w:t>
      </w:r>
      <w:r>
        <w:rPr>
          <w:rFonts w:ascii="宋体" w:hAnsi="宋体"/>
          <w:color w:val="auto"/>
          <w:sz w:val="24"/>
          <w:highlight w:val="none"/>
          <w:lang w:val="en-GB"/>
        </w:rPr>
        <w:t>的</w:t>
      </w:r>
      <w:r>
        <w:rPr>
          <w:rFonts w:hint="eastAsia" w:ascii="宋体" w:hAnsi="宋体"/>
          <w:color w:val="auto"/>
          <w:sz w:val="24"/>
          <w:highlight w:val="none"/>
          <w:lang w:val="en-GB" w:eastAsia="zh-CN"/>
        </w:rPr>
        <w:t>资格审查</w:t>
      </w:r>
      <w:r>
        <w:rPr>
          <w:rFonts w:ascii="宋体" w:hAnsi="宋体"/>
          <w:color w:val="auto"/>
          <w:sz w:val="24"/>
          <w:highlight w:val="none"/>
          <w:lang w:val="en-GB"/>
        </w:rPr>
        <w:t>文件相互混装。</w:t>
      </w:r>
    </w:p>
    <w:p w14:paraId="0D25E1EE">
      <w:pPr>
        <w:numPr>
          <w:ilvl w:val="0"/>
          <w:numId w:val="27"/>
        </w:numPr>
        <w:tabs>
          <w:tab w:val="left" w:pos="420"/>
          <w:tab w:val="left" w:pos="720"/>
        </w:tabs>
        <w:spacing w:line="360" w:lineRule="auto"/>
        <w:ind w:left="993" w:hanging="709"/>
        <w:rPr>
          <w:rFonts w:ascii="宋体" w:hAnsi="宋体"/>
          <w:color w:val="auto"/>
          <w:sz w:val="24"/>
          <w:highlight w:val="none"/>
          <w:lang w:val="en-GB"/>
        </w:rPr>
      </w:pPr>
      <w:r>
        <w:rPr>
          <w:rFonts w:ascii="宋体" w:hAnsi="宋体"/>
          <w:color w:val="auto"/>
          <w:sz w:val="24"/>
          <w:highlight w:val="none"/>
          <w:lang w:val="en-GB"/>
        </w:rPr>
        <w:t>不同</w:t>
      </w:r>
      <w:r>
        <w:rPr>
          <w:rFonts w:hint="eastAsia" w:ascii="宋体" w:hAnsi="宋体"/>
          <w:color w:val="auto"/>
          <w:sz w:val="24"/>
          <w:highlight w:val="none"/>
          <w:lang w:val="en-GB" w:eastAsia="zh-CN"/>
        </w:rPr>
        <w:t>投标人</w:t>
      </w:r>
      <w:r>
        <w:rPr>
          <w:rFonts w:ascii="宋体" w:hAnsi="宋体"/>
          <w:color w:val="auto"/>
          <w:sz w:val="24"/>
          <w:highlight w:val="none"/>
          <w:lang w:val="en-GB"/>
        </w:rPr>
        <w:t>的</w:t>
      </w:r>
      <w:r>
        <w:rPr>
          <w:rFonts w:hint="eastAsia" w:ascii="宋体" w:hAnsi="宋体"/>
          <w:color w:val="auto"/>
          <w:sz w:val="24"/>
          <w:highlight w:val="none"/>
          <w:lang w:val="en-GB" w:eastAsia="zh-CN"/>
        </w:rPr>
        <w:t>竞投</w:t>
      </w:r>
      <w:r>
        <w:rPr>
          <w:rFonts w:ascii="宋体" w:hAnsi="宋体"/>
          <w:color w:val="auto"/>
          <w:sz w:val="24"/>
          <w:highlight w:val="none"/>
          <w:lang w:val="en-GB"/>
        </w:rPr>
        <w:t>保证金从同一单位或者个人的账户转出。</w:t>
      </w:r>
    </w:p>
    <w:p w14:paraId="2D74AE45">
      <w:pPr>
        <w:tabs>
          <w:tab w:val="left" w:pos="420"/>
        </w:tabs>
        <w:autoSpaceDE w:val="0"/>
        <w:autoSpaceDN w:val="0"/>
        <w:adjustRightInd w:val="0"/>
        <w:snapToGrid w:val="0"/>
        <w:spacing w:line="360" w:lineRule="auto"/>
        <w:ind w:right="32"/>
        <w:rPr>
          <w:rFonts w:hint="eastAsia" w:ascii="宋体" w:hAnsi="宋体"/>
          <w:color w:val="auto"/>
          <w:sz w:val="24"/>
          <w:highlight w:val="none"/>
        </w:rPr>
      </w:pPr>
    </w:p>
    <w:p w14:paraId="0418346C">
      <w:pPr>
        <w:spacing w:after="72" w:afterLines="30" w:line="336" w:lineRule="auto"/>
        <w:ind w:right="-178" w:rightChars="-85"/>
        <w:jc w:val="center"/>
        <w:outlineLvl w:val="1"/>
        <w:rPr>
          <w:rFonts w:hint="eastAsia" w:ascii="宋体" w:eastAsia="宋体"/>
          <w:b/>
          <w:color w:val="auto"/>
          <w:sz w:val="28"/>
          <w:szCs w:val="28"/>
          <w:highlight w:val="none"/>
          <w:lang w:eastAsia="zh-CN"/>
        </w:rPr>
      </w:pPr>
      <w:bookmarkStart w:id="65" w:name="_Toc29156"/>
      <w:bookmarkStart w:id="66" w:name="_Toc11501"/>
      <w:bookmarkStart w:id="67" w:name="_Toc334432594"/>
      <w:bookmarkStart w:id="68" w:name="_Toc28243"/>
      <w:bookmarkStart w:id="69" w:name="_Toc6827"/>
      <w:r>
        <w:rPr>
          <w:rFonts w:hint="eastAsia" w:ascii="宋体" w:hAnsi="宋体"/>
          <w:b/>
          <w:color w:val="auto"/>
          <w:sz w:val="28"/>
          <w:szCs w:val="28"/>
          <w:highlight w:val="none"/>
        </w:rPr>
        <w:t>六、</w:t>
      </w:r>
      <w:bookmarkEnd w:id="65"/>
      <w:bookmarkEnd w:id="66"/>
      <w:bookmarkEnd w:id="67"/>
      <w:bookmarkEnd w:id="68"/>
      <w:r>
        <w:rPr>
          <w:rFonts w:hint="eastAsia" w:ascii="宋体" w:hAnsi="宋体"/>
          <w:b/>
          <w:color w:val="auto"/>
          <w:sz w:val="28"/>
          <w:szCs w:val="28"/>
          <w:highlight w:val="none"/>
          <w:lang w:eastAsia="zh-CN"/>
        </w:rPr>
        <w:t>竞投方式</w:t>
      </w:r>
      <w:bookmarkEnd w:id="69"/>
    </w:p>
    <w:p w14:paraId="59C336EA">
      <w:pPr>
        <w:numPr>
          <w:ilvl w:val="0"/>
          <w:numId w:val="20"/>
        </w:numPr>
        <w:tabs>
          <w:tab w:val="left" w:pos="540"/>
        </w:tabs>
        <w:spacing w:line="360" w:lineRule="auto"/>
        <w:ind w:left="420" w:leftChars="0" w:hanging="420" w:firstLineChars="0"/>
        <w:rPr>
          <w:color w:val="auto"/>
          <w:sz w:val="24"/>
          <w:highlight w:val="none"/>
        </w:rPr>
      </w:pPr>
      <w:bookmarkStart w:id="70" w:name="_Toc119321139"/>
      <w:bookmarkStart w:id="71" w:name="_Toc374378411"/>
      <w:r>
        <w:rPr>
          <w:rFonts w:hint="eastAsia" w:hAnsi="宋体"/>
          <w:b/>
          <w:color w:val="auto"/>
          <w:sz w:val="24"/>
          <w:highlight w:val="none"/>
          <w:lang w:eastAsia="zh-CN"/>
        </w:rPr>
        <w:t>竞投</w:t>
      </w:r>
      <w:bookmarkEnd w:id="70"/>
      <w:bookmarkEnd w:id="71"/>
      <w:r>
        <w:rPr>
          <w:rFonts w:hint="eastAsia" w:hAnsi="宋体"/>
          <w:b/>
          <w:color w:val="auto"/>
          <w:sz w:val="24"/>
          <w:highlight w:val="none"/>
          <w:lang w:eastAsia="zh-CN"/>
        </w:rPr>
        <w:t>方式：</w:t>
      </w:r>
    </w:p>
    <w:p w14:paraId="3CDC87A1">
      <w:pPr>
        <w:numPr>
          <w:ilvl w:val="0"/>
          <w:numId w:val="0"/>
        </w:numPr>
        <w:tabs>
          <w:tab w:val="left" w:pos="540"/>
        </w:tabs>
        <w:spacing w:line="374" w:lineRule="auto"/>
        <w:ind w:left="0" w:firstLine="0"/>
        <w:rPr>
          <w:rFonts w:hint="eastAsia" w:ascii="宋体" w:hAnsi="宋体"/>
          <w:color w:val="auto"/>
          <w:sz w:val="24"/>
          <w:highlight w:val="none"/>
          <w:lang w:val="en-US" w:eastAsia="zh-CN"/>
        </w:rPr>
      </w:pPr>
      <w:r>
        <w:rPr>
          <w:rFonts w:hint="eastAsia" w:ascii="宋体" w:hAnsi="宋体"/>
          <w:color w:val="auto"/>
          <w:sz w:val="24"/>
          <w:highlight w:val="none"/>
          <w:lang w:val="en-US" w:eastAsia="zh-CN"/>
        </w:rPr>
        <w:t>19.1本次竞投会采取填写报价书和公布报价的方式进行。竞投人填好的报价书必须由法定代表人或授权代表填写，签名确认；报价书应密封，在密封袋上写明投标人名称，在密封处由法人或授权代表人签名并盖手指摸。报价书一经递交，不得撤回或修改。</w:t>
      </w:r>
    </w:p>
    <w:p w14:paraId="0612E1C3">
      <w:pPr>
        <w:numPr>
          <w:ilvl w:val="0"/>
          <w:numId w:val="0"/>
        </w:numPr>
        <w:tabs>
          <w:tab w:val="left" w:pos="540"/>
        </w:tabs>
        <w:spacing w:line="374" w:lineRule="auto"/>
        <w:ind w:left="0" w:firstLine="0"/>
        <w:rPr>
          <w:rFonts w:hint="eastAsia" w:ascii="宋体" w:hAnsi="宋体"/>
          <w:color w:val="auto"/>
          <w:sz w:val="24"/>
          <w:highlight w:val="none"/>
          <w:lang w:val="en-US" w:eastAsia="zh-CN"/>
        </w:rPr>
      </w:pPr>
      <w:r>
        <w:rPr>
          <w:rFonts w:hint="eastAsia" w:ascii="宋体" w:hAnsi="宋体"/>
          <w:color w:val="auto"/>
          <w:sz w:val="24"/>
          <w:highlight w:val="none"/>
          <w:lang w:val="en-US" w:eastAsia="zh-CN"/>
        </w:rPr>
        <w:t>19.2本项目采取一次性报价，所报价格不得低于本项目设定的最低限价。若报价金额低于设定的最低限价，则报价无效；若报价金额不低于本项目设定的最低限价，则采取价高者得的原则确定中标人。若出现最高报价相同的，按提交报价书的先后顺序确定竞得人（即最先提交报价书者为中标人）。</w:t>
      </w:r>
    </w:p>
    <w:p w14:paraId="30E5862A">
      <w:pPr>
        <w:rPr>
          <w:rFonts w:hint="eastAsia" w:ascii="宋体" w:hAnsi="宋体"/>
          <w:color w:val="auto"/>
          <w:sz w:val="24"/>
          <w:highlight w:val="none"/>
          <w:lang w:val="en-US" w:eastAsia="zh-CN"/>
        </w:rPr>
      </w:pPr>
      <w:r>
        <w:rPr>
          <w:rFonts w:hint="eastAsia" w:ascii="宋体" w:hAnsi="宋体"/>
          <w:color w:val="auto"/>
          <w:sz w:val="24"/>
          <w:highlight w:val="none"/>
          <w:lang w:val="en-US" w:eastAsia="zh-CN"/>
        </w:rPr>
        <w:br w:type="page"/>
      </w:r>
    </w:p>
    <w:p w14:paraId="36823129">
      <w:pPr>
        <w:pStyle w:val="2"/>
        <w:rPr>
          <w:rFonts w:hint="eastAsia"/>
          <w:highlight w:val="none"/>
          <w:lang w:val="en-US" w:eastAsia="zh-CN"/>
        </w:rPr>
      </w:pPr>
    </w:p>
    <w:p w14:paraId="545B7AEA">
      <w:pPr>
        <w:spacing w:after="120" w:afterLines="50" w:line="360" w:lineRule="auto"/>
        <w:jc w:val="center"/>
        <w:outlineLvl w:val="0"/>
        <w:rPr>
          <w:rFonts w:ascii="宋体"/>
          <w:b/>
          <w:color w:val="auto"/>
          <w:sz w:val="36"/>
          <w:szCs w:val="36"/>
          <w:highlight w:val="none"/>
          <w:lang w:val="zh-CN"/>
        </w:rPr>
      </w:pPr>
      <w:bookmarkStart w:id="72" w:name="_Toc8823"/>
      <w:bookmarkStart w:id="73" w:name="_Toc30654"/>
      <w:bookmarkStart w:id="74" w:name="_Toc334432596"/>
      <w:bookmarkStart w:id="75" w:name="_Toc15468"/>
      <w:bookmarkStart w:id="76" w:name="_Toc27419"/>
      <w:r>
        <w:rPr>
          <w:rFonts w:hint="eastAsia" w:ascii="宋体" w:hAnsi="宋体" w:eastAsia="宋体" w:cs="Times New Roman"/>
          <w:b/>
          <w:color w:val="auto"/>
          <w:kern w:val="2"/>
          <w:sz w:val="36"/>
          <w:szCs w:val="36"/>
          <w:highlight w:val="none"/>
          <w:lang w:val="en-US" w:eastAsia="zh-CN" w:bidi="ar-SA"/>
        </w:rPr>
        <w:t>第四部分</w:t>
      </w:r>
      <w:r>
        <w:rPr>
          <w:rFonts w:hint="eastAsia" w:ascii="宋体" w:hAnsi="宋体" w:cs="Times New Roman"/>
          <w:b/>
          <w:color w:val="auto"/>
          <w:kern w:val="2"/>
          <w:sz w:val="36"/>
          <w:szCs w:val="36"/>
          <w:highlight w:val="none"/>
          <w:lang w:val="en-US" w:eastAsia="zh-CN" w:bidi="ar-SA"/>
        </w:rPr>
        <w:t xml:space="preserve">  </w:t>
      </w:r>
      <w:r>
        <w:rPr>
          <w:rFonts w:hint="eastAsia" w:ascii="宋体" w:hAnsi="宋体" w:eastAsia="宋体" w:cs="Times New Roman"/>
          <w:b/>
          <w:color w:val="auto"/>
          <w:kern w:val="2"/>
          <w:sz w:val="36"/>
          <w:szCs w:val="36"/>
          <w:highlight w:val="none"/>
          <w:lang w:val="en-US" w:eastAsia="zh-CN" w:bidi="ar-SA"/>
        </w:rPr>
        <w:t>合同书范本</w:t>
      </w:r>
      <w:bookmarkEnd w:id="72"/>
      <w:bookmarkEnd w:id="73"/>
      <w:bookmarkEnd w:id="74"/>
      <w:bookmarkEnd w:id="75"/>
      <w:bookmarkEnd w:id="76"/>
    </w:p>
    <w:p w14:paraId="05F5AB8F">
      <w:pPr>
        <w:spacing w:line="360" w:lineRule="auto"/>
        <w:ind w:left="46" w:leftChars="22"/>
        <w:rPr>
          <w:rFonts w:hAnsi="宋体"/>
          <w:color w:val="auto"/>
          <w:sz w:val="24"/>
          <w:szCs w:val="24"/>
          <w:highlight w:val="none"/>
        </w:rPr>
      </w:pPr>
      <w:r>
        <w:rPr>
          <w:rFonts w:hint="eastAsia" w:hAnsi="宋体"/>
          <w:bCs/>
          <w:color w:val="auto"/>
          <w:kern w:val="44"/>
          <w:sz w:val="24"/>
          <w:szCs w:val="24"/>
          <w:highlight w:val="none"/>
          <w:lang w:val="zh-CN"/>
        </w:rPr>
        <w:t>注：</w:t>
      </w:r>
      <w:r>
        <w:rPr>
          <w:rFonts w:hint="eastAsia" w:ascii="宋体" w:hAnsi="宋体"/>
          <w:color w:val="auto"/>
          <w:sz w:val="24"/>
          <w:szCs w:val="24"/>
          <w:highlight w:val="none"/>
        </w:rPr>
        <w:t>在不违背各方认可的文件内容前提下，对个别非实质性条款可由合同当事人协商修订，</w:t>
      </w:r>
      <w:r>
        <w:rPr>
          <w:rFonts w:hint="eastAsia" w:hAnsi="宋体"/>
          <w:bCs/>
          <w:color w:val="auto"/>
          <w:kern w:val="44"/>
          <w:sz w:val="24"/>
          <w:szCs w:val="24"/>
          <w:highlight w:val="none"/>
          <w:lang w:val="zh-CN"/>
        </w:rPr>
        <w:t>最终以甲、乙双方签订的合同为准。合同封面也可按甲乙双方意愿，自行编制修订。</w:t>
      </w:r>
    </w:p>
    <w:p w14:paraId="0428DD29">
      <w:pPr>
        <w:spacing w:line="360" w:lineRule="auto"/>
        <w:jc w:val="center"/>
        <w:rPr>
          <w:rFonts w:hAnsi="宋体"/>
          <w:color w:val="auto"/>
          <w:sz w:val="24"/>
          <w:szCs w:val="24"/>
          <w:highlight w:val="none"/>
        </w:rPr>
      </w:pPr>
    </w:p>
    <w:p w14:paraId="0C4DD988">
      <w:pPr>
        <w:rPr>
          <w:color w:val="auto"/>
          <w:sz w:val="24"/>
          <w:highlight w:val="none"/>
        </w:rPr>
      </w:pPr>
    </w:p>
    <w:p w14:paraId="4283C3D0">
      <w:pPr>
        <w:jc w:val="center"/>
        <w:rPr>
          <w:rFonts w:eastAsia="黑体"/>
          <w:color w:val="auto"/>
          <w:sz w:val="52"/>
          <w:highlight w:val="none"/>
        </w:rPr>
      </w:pPr>
    </w:p>
    <w:p w14:paraId="635600A8">
      <w:pPr>
        <w:spacing w:line="776" w:lineRule="exact"/>
        <w:ind w:right="-453"/>
        <w:jc w:val="center"/>
        <w:rPr>
          <w:rFonts w:ascii="宋体"/>
          <w:color w:val="auto"/>
          <w:sz w:val="68"/>
          <w:highlight w:val="none"/>
        </w:rPr>
      </w:pPr>
      <w:r>
        <w:rPr>
          <w:rFonts w:ascii="宋体"/>
          <w:color w:val="auto"/>
          <w:sz w:val="68"/>
          <w:highlight w:val="none"/>
        </w:rPr>
        <w:br w:type="page"/>
      </w:r>
    </w:p>
    <w:p w14:paraId="608CAE1E">
      <w:pPr>
        <w:spacing w:line="776" w:lineRule="exact"/>
        <w:ind w:right="-453"/>
        <w:jc w:val="center"/>
        <w:rPr>
          <w:rFonts w:ascii="宋体"/>
          <w:color w:val="auto"/>
          <w:sz w:val="68"/>
          <w:highlight w:val="none"/>
        </w:rPr>
      </w:pPr>
    </w:p>
    <w:p w14:paraId="57494A27">
      <w:pPr>
        <w:spacing w:line="776" w:lineRule="exact"/>
        <w:ind w:right="-453"/>
        <w:jc w:val="center"/>
        <w:rPr>
          <w:rFonts w:hint="eastAsia" w:ascii="宋体" w:hAnsi="宋体" w:eastAsia="宋体"/>
          <w:color w:val="auto"/>
          <w:sz w:val="68"/>
          <w:highlight w:val="none"/>
          <w:lang w:eastAsia="zh-CN"/>
        </w:rPr>
      </w:pPr>
      <w:r>
        <w:rPr>
          <w:rFonts w:hint="eastAsia" w:ascii="宋体" w:hAnsi="宋体"/>
          <w:color w:val="auto"/>
          <w:sz w:val="68"/>
          <w:highlight w:val="none"/>
          <w:lang w:eastAsia="zh-CN"/>
        </w:rPr>
        <w:t>吉利邓岗村车辆停放管理服务</w:t>
      </w:r>
    </w:p>
    <w:p w14:paraId="09992976">
      <w:pPr>
        <w:spacing w:line="200" w:lineRule="exact"/>
        <w:rPr>
          <w:rFonts w:eastAsia="Times New Roman"/>
          <w:color w:val="auto"/>
          <w:highlight w:val="none"/>
        </w:rPr>
      </w:pPr>
    </w:p>
    <w:p w14:paraId="72633B5D">
      <w:pPr>
        <w:spacing w:line="347" w:lineRule="exact"/>
        <w:rPr>
          <w:rFonts w:eastAsia="Times New Roman"/>
          <w:color w:val="auto"/>
          <w:highlight w:val="none"/>
        </w:rPr>
      </w:pPr>
    </w:p>
    <w:p w14:paraId="0EFDE42E">
      <w:pPr>
        <w:spacing w:line="776" w:lineRule="exact"/>
        <w:ind w:right="-453"/>
        <w:jc w:val="center"/>
        <w:rPr>
          <w:rFonts w:ascii="宋体" w:hAnsi="宋体"/>
          <w:color w:val="auto"/>
          <w:sz w:val="68"/>
          <w:highlight w:val="none"/>
        </w:rPr>
      </w:pPr>
      <w:r>
        <w:rPr>
          <w:rFonts w:ascii="宋体" w:hAnsi="宋体"/>
          <w:color w:val="auto"/>
          <w:sz w:val="68"/>
          <w:highlight w:val="none"/>
        </w:rPr>
        <w:t>合同书</w:t>
      </w:r>
    </w:p>
    <w:p w14:paraId="414EC3F0">
      <w:pPr>
        <w:spacing w:line="200" w:lineRule="exact"/>
        <w:rPr>
          <w:rFonts w:eastAsia="Times New Roman"/>
          <w:color w:val="auto"/>
          <w:highlight w:val="none"/>
        </w:rPr>
      </w:pPr>
    </w:p>
    <w:p w14:paraId="6E54C455">
      <w:pPr>
        <w:spacing w:line="360" w:lineRule="auto"/>
        <w:rPr>
          <w:rFonts w:eastAsia="Times New Roman"/>
          <w:color w:val="auto"/>
          <w:highlight w:val="none"/>
        </w:rPr>
      </w:pPr>
    </w:p>
    <w:p w14:paraId="53FDA0D8">
      <w:pPr>
        <w:spacing w:line="360" w:lineRule="auto"/>
        <w:rPr>
          <w:rFonts w:eastAsia="Times New Roman"/>
          <w:color w:val="auto"/>
          <w:sz w:val="24"/>
          <w:highlight w:val="none"/>
        </w:rPr>
      </w:pPr>
    </w:p>
    <w:p w14:paraId="2A5256A6">
      <w:pPr>
        <w:spacing w:line="200" w:lineRule="exact"/>
        <w:rPr>
          <w:rFonts w:eastAsia="Times New Roman"/>
          <w:color w:val="auto"/>
          <w:highlight w:val="none"/>
        </w:rPr>
      </w:pPr>
    </w:p>
    <w:p w14:paraId="5829AA6A">
      <w:pPr>
        <w:spacing w:line="200" w:lineRule="exact"/>
        <w:rPr>
          <w:rFonts w:eastAsia="Times New Roman"/>
          <w:color w:val="auto"/>
          <w:highlight w:val="none"/>
        </w:rPr>
      </w:pPr>
    </w:p>
    <w:p w14:paraId="12859115">
      <w:pPr>
        <w:spacing w:line="200" w:lineRule="exact"/>
        <w:rPr>
          <w:rFonts w:eastAsia="Times New Roman"/>
          <w:color w:val="auto"/>
          <w:highlight w:val="none"/>
        </w:rPr>
      </w:pPr>
    </w:p>
    <w:p w14:paraId="51A9FF6D">
      <w:pPr>
        <w:spacing w:line="200" w:lineRule="exact"/>
        <w:rPr>
          <w:rFonts w:eastAsia="Times New Roman"/>
          <w:color w:val="auto"/>
          <w:highlight w:val="none"/>
        </w:rPr>
      </w:pPr>
    </w:p>
    <w:p w14:paraId="082F015F">
      <w:pPr>
        <w:spacing w:line="200" w:lineRule="exact"/>
        <w:rPr>
          <w:rFonts w:eastAsia="Times New Roman"/>
          <w:color w:val="auto"/>
          <w:highlight w:val="none"/>
        </w:rPr>
      </w:pPr>
    </w:p>
    <w:p w14:paraId="689538D2">
      <w:pPr>
        <w:spacing w:line="200" w:lineRule="exact"/>
        <w:rPr>
          <w:rFonts w:eastAsia="Times New Roman"/>
          <w:color w:val="auto"/>
          <w:highlight w:val="none"/>
        </w:rPr>
      </w:pPr>
    </w:p>
    <w:p w14:paraId="1D75F67B">
      <w:pPr>
        <w:spacing w:line="200" w:lineRule="exact"/>
        <w:rPr>
          <w:rFonts w:eastAsia="Times New Roman"/>
          <w:color w:val="auto"/>
          <w:highlight w:val="none"/>
        </w:rPr>
      </w:pPr>
    </w:p>
    <w:p w14:paraId="37F95598">
      <w:pPr>
        <w:spacing w:line="200" w:lineRule="exact"/>
        <w:rPr>
          <w:rFonts w:eastAsia="Times New Roman"/>
          <w:color w:val="auto"/>
          <w:highlight w:val="none"/>
        </w:rPr>
      </w:pPr>
    </w:p>
    <w:p w14:paraId="68646C98">
      <w:pPr>
        <w:spacing w:line="200" w:lineRule="exact"/>
        <w:rPr>
          <w:rFonts w:eastAsia="Times New Roman"/>
          <w:color w:val="auto"/>
          <w:highlight w:val="none"/>
        </w:rPr>
      </w:pPr>
    </w:p>
    <w:p w14:paraId="092328A8">
      <w:pPr>
        <w:spacing w:line="200" w:lineRule="exact"/>
        <w:rPr>
          <w:rFonts w:eastAsia="Times New Roman"/>
          <w:color w:val="auto"/>
          <w:highlight w:val="none"/>
        </w:rPr>
      </w:pPr>
    </w:p>
    <w:p w14:paraId="71353027">
      <w:pPr>
        <w:spacing w:line="200" w:lineRule="exact"/>
        <w:rPr>
          <w:rFonts w:eastAsia="Times New Roman"/>
          <w:color w:val="auto"/>
          <w:highlight w:val="none"/>
        </w:rPr>
      </w:pPr>
    </w:p>
    <w:p w14:paraId="51AD1006">
      <w:pPr>
        <w:spacing w:line="200" w:lineRule="exact"/>
        <w:rPr>
          <w:rFonts w:eastAsia="Times New Roman"/>
          <w:color w:val="auto"/>
          <w:highlight w:val="none"/>
        </w:rPr>
      </w:pPr>
    </w:p>
    <w:p w14:paraId="135DE742">
      <w:pPr>
        <w:spacing w:line="200" w:lineRule="exact"/>
        <w:rPr>
          <w:rFonts w:eastAsia="Times New Roman"/>
          <w:color w:val="auto"/>
          <w:highlight w:val="none"/>
        </w:rPr>
      </w:pPr>
    </w:p>
    <w:p w14:paraId="72589F19">
      <w:pPr>
        <w:spacing w:line="200" w:lineRule="exact"/>
        <w:rPr>
          <w:rFonts w:eastAsia="Times New Roman"/>
          <w:color w:val="auto"/>
          <w:highlight w:val="none"/>
        </w:rPr>
      </w:pPr>
    </w:p>
    <w:p w14:paraId="3169D500">
      <w:pPr>
        <w:spacing w:line="200" w:lineRule="exact"/>
        <w:rPr>
          <w:rFonts w:eastAsia="Times New Roman"/>
          <w:color w:val="auto"/>
          <w:highlight w:val="none"/>
        </w:rPr>
      </w:pPr>
    </w:p>
    <w:p w14:paraId="15FC0E43">
      <w:pPr>
        <w:spacing w:line="200" w:lineRule="exact"/>
        <w:rPr>
          <w:rFonts w:eastAsia="Times New Roman"/>
          <w:color w:val="auto"/>
          <w:highlight w:val="none"/>
        </w:rPr>
      </w:pPr>
    </w:p>
    <w:p w14:paraId="30AF4AAF">
      <w:pPr>
        <w:spacing w:line="232" w:lineRule="exact"/>
        <w:rPr>
          <w:rFonts w:eastAsia="Times New Roman"/>
          <w:color w:val="auto"/>
          <w:highlight w:val="none"/>
        </w:rPr>
      </w:pPr>
    </w:p>
    <w:tbl>
      <w:tblPr>
        <w:tblStyle w:val="20"/>
        <w:tblW w:w="7682" w:type="dxa"/>
        <w:tblInd w:w="1040" w:type="dxa"/>
        <w:tblLayout w:type="fixed"/>
        <w:tblCellMar>
          <w:top w:w="0" w:type="dxa"/>
          <w:left w:w="0" w:type="dxa"/>
          <w:bottom w:w="0" w:type="dxa"/>
          <w:right w:w="0" w:type="dxa"/>
        </w:tblCellMar>
      </w:tblPr>
      <w:tblGrid>
        <w:gridCol w:w="1488"/>
        <w:gridCol w:w="6194"/>
      </w:tblGrid>
      <w:tr w14:paraId="4250F18C">
        <w:tblPrEx>
          <w:tblCellMar>
            <w:top w:w="0" w:type="dxa"/>
            <w:left w:w="0" w:type="dxa"/>
            <w:bottom w:w="0" w:type="dxa"/>
            <w:right w:w="0" w:type="dxa"/>
          </w:tblCellMar>
        </w:tblPrEx>
        <w:trPr>
          <w:trHeight w:val="575" w:hRule="atLeast"/>
        </w:trPr>
        <w:tc>
          <w:tcPr>
            <w:tcW w:w="1488" w:type="dxa"/>
            <w:noWrap w:val="0"/>
            <w:vAlign w:val="bottom"/>
          </w:tcPr>
          <w:p w14:paraId="3098890E">
            <w:pPr>
              <w:spacing w:line="320" w:lineRule="exact"/>
              <w:jc w:val="left"/>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甲方：</w:t>
            </w:r>
          </w:p>
        </w:tc>
        <w:tc>
          <w:tcPr>
            <w:tcW w:w="6194" w:type="dxa"/>
            <w:tcBorders>
              <w:bottom w:val="single" w:color="auto" w:sz="4" w:space="0"/>
            </w:tcBorders>
            <w:noWrap w:val="0"/>
            <w:vAlign w:val="bottom"/>
          </w:tcPr>
          <w:p w14:paraId="0B088059">
            <w:pPr>
              <w:spacing w:line="320" w:lineRule="exact"/>
              <w:jc w:val="center"/>
              <w:rPr>
                <w:rFonts w:hint="eastAsia" w:ascii="宋体" w:hAnsi="宋体" w:eastAsia="宋体" w:cs="宋体"/>
                <w:color w:val="auto"/>
                <w:w w:val="99"/>
                <w:sz w:val="32"/>
                <w:szCs w:val="32"/>
                <w:highlight w:val="none"/>
                <w:lang w:eastAsia="zh-CN"/>
              </w:rPr>
            </w:pPr>
            <w:r>
              <w:rPr>
                <w:rFonts w:hint="eastAsia" w:ascii="宋体" w:hAnsi="宋体" w:cs="宋体"/>
                <w:color w:val="auto"/>
                <w:w w:val="99"/>
                <w:sz w:val="32"/>
                <w:szCs w:val="32"/>
                <w:highlight w:val="none"/>
                <w:lang w:eastAsia="zh-CN"/>
              </w:rPr>
              <w:t>佛山市禅城区南庄镇吉利村邓岗经济合作社</w:t>
            </w:r>
          </w:p>
        </w:tc>
      </w:tr>
      <w:tr w14:paraId="1EB02414">
        <w:tblPrEx>
          <w:tblCellMar>
            <w:top w:w="0" w:type="dxa"/>
            <w:left w:w="0" w:type="dxa"/>
            <w:bottom w:w="0" w:type="dxa"/>
            <w:right w:w="0" w:type="dxa"/>
          </w:tblCellMar>
        </w:tblPrEx>
        <w:trPr>
          <w:trHeight w:val="726" w:hRule="atLeast"/>
        </w:trPr>
        <w:tc>
          <w:tcPr>
            <w:tcW w:w="1488" w:type="dxa"/>
            <w:noWrap w:val="0"/>
            <w:vAlign w:val="bottom"/>
          </w:tcPr>
          <w:p w14:paraId="54BFC747">
            <w:pPr>
              <w:spacing w:line="313" w:lineRule="exact"/>
              <w:jc w:val="left"/>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乙方：</w:t>
            </w:r>
          </w:p>
        </w:tc>
        <w:tc>
          <w:tcPr>
            <w:tcW w:w="6194" w:type="dxa"/>
            <w:tcBorders>
              <w:top w:val="single" w:color="auto" w:sz="4" w:space="0"/>
              <w:bottom w:val="single" w:color="auto" w:sz="4" w:space="0"/>
            </w:tcBorders>
            <w:noWrap w:val="0"/>
            <w:vAlign w:val="bottom"/>
          </w:tcPr>
          <w:p w14:paraId="5501A1D0">
            <w:pPr>
              <w:spacing w:line="313" w:lineRule="exact"/>
              <w:jc w:val="center"/>
              <w:rPr>
                <w:rFonts w:hint="eastAsia" w:ascii="宋体" w:hAnsi="宋体" w:eastAsia="宋体" w:cs="宋体"/>
                <w:color w:val="auto"/>
                <w:w w:val="99"/>
                <w:sz w:val="32"/>
                <w:szCs w:val="32"/>
                <w:highlight w:val="none"/>
              </w:rPr>
            </w:pPr>
            <w:r>
              <w:rPr>
                <w:rFonts w:hint="eastAsia" w:ascii="宋体" w:hAnsi="宋体" w:eastAsia="宋体" w:cs="宋体"/>
                <w:color w:val="auto"/>
                <w:w w:val="99"/>
                <w:sz w:val="32"/>
                <w:szCs w:val="32"/>
                <w:highlight w:val="none"/>
              </w:rPr>
              <w:t>（中标</w:t>
            </w:r>
            <w:r>
              <w:rPr>
                <w:rFonts w:hint="eastAsia" w:ascii="宋体" w:hAnsi="宋体" w:eastAsia="宋体" w:cs="宋体"/>
                <w:color w:val="auto"/>
                <w:w w:val="99"/>
                <w:sz w:val="32"/>
                <w:szCs w:val="32"/>
                <w:highlight w:val="none"/>
                <w:lang w:eastAsia="zh-CN"/>
              </w:rPr>
              <w:t>人</w:t>
            </w:r>
            <w:r>
              <w:rPr>
                <w:rFonts w:hint="eastAsia" w:ascii="宋体" w:hAnsi="宋体" w:cs="宋体"/>
                <w:color w:val="auto"/>
                <w:w w:val="99"/>
                <w:sz w:val="32"/>
                <w:szCs w:val="32"/>
                <w:highlight w:val="none"/>
                <w:lang w:val="en-US" w:eastAsia="zh-CN"/>
              </w:rPr>
              <w:t>名称</w:t>
            </w:r>
            <w:r>
              <w:rPr>
                <w:rFonts w:hint="eastAsia" w:ascii="宋体" w:hAnsi="宋体" w:eastAsia="宋体" w:cs="宋体"/>
                <w:color w:val="auto"/>
                <w:w w:val="99"/>
                <w:sz w:val="32"/>
                <w:szCs w:val="32"/>
                <w:highlight w:val="none"/>
              </w:rPr>
              <w:t>）</w:t>
            </w:r>
          </w:p>
        </w:tc>
      </w:tr>
      <w:tr w14:paraId="1E756D1C">
        <w:tblPrEx>
          <w:tblCellMar>
            <w:top w:w="0" w:type="dxa"/>
            <w:left w:w="0" w:type="dxa"/>
            <w:bottom w:w="0" w:type="dxa"/>
            <w:right w:w="0" w:type="dxa"/>
          </w:tblCellMar>
        </w:tblPrEx>
        <w:trPr>
          <w:trHeight w:val="749" w:hRule="atLeast"/>
        </w:trPr>
        <w:tc>
          <w:tcPr>
            <w:tcW w:w="1488" w:type="dxa"/>
            <w:noWrap w:val="0"/>
            <w:vAlign w:val="bottom"/>
          </w:tcPr>
          <w:p w14:paraId="381A1A50">
            <w:pPr>
              <w:spacing w:line="316" w:lineRule="exact"/>
              <w:jc w:val="right"/>
              <w:rPr>
                <w:rFonts w:hint="eastAsia" w:ascii="宋体" w:hAnsi="宋体" w:eastAsia="宋体" w:cs="宋体"/>
                <w:color w:val="auto"/>
                <w:w w:val="98"/>
                <w:sz w:val="28"/>
                <w:szCs w:val="28"/>
                <w:highlight w:val="none"/>
              </w:rPr>
            </w:pPr>
            <w:r>
              <w:rPr>
                <w:rFonts w:hint="eastAsia" w:ascii="宋体" w:hAnsi="宋体" w:eastAsia="宋体" w:cs="宋体"/>
                <w:color w:val="auto"/>
                <w:w w:val="98"/>
                <w:sz w:val="28"/>
                <w:szCs w:val="28"/>
                <w:highlight w:val="none"/>
              </w:rPr>
              <w:t>签订日期：</w:t>
            </w:r>
          </w:p>
        </w:tc>
        <w:tc>
          <w:tcPr>
            <w:tcW w:w="6194" w:type="dxa"/>
            <w:tcBorders>
              <w:top w:val="single" w:color="auto" w:sz="4" w:space="0"/>
              <w:bottom w:val="single" w:color="auto" w:sz="8" w:space="0"/>
            </w:tcBorders>
            <w:noWrap w:val="0"/>
            <w:vAlign w:val="bottom"/>
          </w:tcPr>
          <w:p w14:paraId="17F47FDD">
            <w:pPr>
              <w:spacing w:line="316" w:lineRule="exact"/>
              <w:ind w:left="2520"/>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年月日</w:t>
            </w:r>
          </w:p>
        </w:tc>
      </w:tr>
    </w:tbl>
    <w:p w14:paraId="274E33F3">
      <w:pPr>
        <w:rPr>
          <w:rFonts w:eastAsia="Times New Roman"/>
          <w:color w:val="auto"/>
          <w:sz w:val="19"/>
          <w:highlight w:val="none"/>
        </w:rPr>
        <w:sectPr>
          <w:pgSz w:w="11850" w:h="16783"/>
          <w:pgMar w:top="1134" w:right="1134" w:bottom="1134" w:left="1417" w:header="567" w:footer="567" w:gutter="0"/>
          <w:pgBorders>
            <w:top w:val="none" w:sz="0" w:space="0"/>
            <w:left w:val="none" w:sz="0" w:space="0"/>
            <w:bottom w:val="none" w:sz="0" w:space="0"/>
            <w:right w:val="none" w:sz="0" w:space="0"/>
          </w:pgBorders>
          <w:pgNumType w:fmt="decimal"/>
          <w:cols w:space="0" w:num="1"/>
          <w:rtlGutter w:val="0"/>
          <w:docGrid w:linePitch="360" w:charSpace="0"/>
        </w:sectPr>
      </w:pPr>
    </w:p>
    <w:p w14:paraId="0ADB45A9">
      <w:pPr>
        <w:spacing w:line="200" w:lineRule="exact"/>
        <w:rPr>
          <w:rFonts w:eastAsia="Times New Roman"/>
          <w:color w:val="auto"/>
          <w:highlight w:val="none"/>
        </w:rPr>
      </w:pPr>
    </w:p>
    <w:p w14:paraId="71978271">
      <w:pPr>
        <w:spacing w:line="200" w:lineRule="exact"/>
        <w:rPr>
          <w:rFonts w:eastAsia="Times New Roman"/>
          <w:color w:val="auto"/>
          <w:highlight w:val="none"/>
        </w:rPr>
      </w:pPr>
    </w:p>
    <w:p w14:paraId="64DEF082">
      <w:pPr>
        <w:spacing w:line="200" w:lineRule="exact"/>
        <w:rPr>
          <w:rFonts w:eastAsia="Times New Roman"/>
          <w:color w:val="auto"/>
          <w:highlight w:val="none"/>
        </w:rPr>
      </w:pPr>
    </w:p>
    <w:p w14:paraId="08D95C2B">
      <w:pPr>
        <w:spacing w:line="200" w:lineRule="exact"/>
        <w:rPr>
          <w:rFonts w:eastAsia="Times New Roman"/>
          <w:color w:val="auto"/>
          <w:highlight w:val="none"/>
        </w:rPr>
      </w:pPr>
    </w:p>
    <w:p w14:paraId="1586FAF2">
      <w:pPr>
        <w:spacing w:line="200" w:lineRule="exact"/>
        <w:rPr>
          <w:rFonts w:eastAsia="Times New Roman"/>
          <w:color w:val="auto"/>
          <w:highlight w:val="none"/>
        </w:rPr>
      </w:pPr>
    </w:p>
    <w:p w14:paraId="12F24AED">
      <w:pPr>
        <w:spacing w:line="200" w:lineRule="exact"/>
        <w:rPr>
          <w:rFonts w:eastAsia="Times New Roman"/>
          <w:color w:val="auto"/>
          <w:highlight w:val="none"/>
        </w:rPr>
      </w:pPr>
    </w:p>
    <w:p w14:paraId="6CA8374C">
      <w:pPr>
        <w:spacing w:line="200" w:lineRule="exact"/>
        <w:rPr>
          <w:rFonts w:eastAsia="Times New Roman"/>
          <w:color w:val="auto"/>
          <w:highlight w:val="none"/>
        </w:rPr>
      </w:pPr>
    </w:p>
    <w:p w14:paraId="69449883">
      <w:pPr>
        <w:spacing w:line="200" w:lineRule="exact"/>
        <w:rPr>
          <w:rFonts w:eastAsia="Times New Roman"/>
          <w:color w:val="auto"/>
          <w:highlight w:val="none"/>
        </w:rPr>
      </w:pPr>
    </w:p>
    <w:p w14:paraId="46C9A164">
      <w:pPr>
        <w:spacing w:line="200" w:lineRule="exact"/>
        <w:rPr>
          <w:rFonts w:eastAsia="Times New Roman"/>
          <w:color w:val="auto"/>
          <w:highlight w:val="none"/>
        </w:rPr>
      </w:pPr>
    </w:p>
    <w:p w14:paraId="78870146">
      <w:pPr>
        <w:spacing w:line="200" w:lineRule="exact"/>
        <w:rPr>
          <w:rFonts w:eastAsia="Times New Roman"/>
          <w:color w:val="auto"/>
          <w:highlight w:val="none"/>
        </w:rPr>
      </w:pPr>
    </w:p>
    <w:p w14:paraId="6D86A62A">
      <w:pPr>
        <w:spacing w:line="225" w:lineRule="exact"/>
        <w:rPr>
          <w:rFonts w:eastAsia="Times New Roman"/>
          <w:color w:val="auto"/>
          <w:highlight w:val="none"/>
        </w:rPr>
      </w:pPr>
    </w:p>
    <w:p w14:paraId="0F8F21E4">
      <w:pPr>
        <w:spacing w:line="0" w:lineRule="atLeast"/>
        <w:ind w:right="-473"/>
        <w:jc w:val="center"/>
        <w:rPr>
          <w:rFonts w:eastAsia="Times New Roman"/>
          <w:color w:val="auto"/>
          <w:sz w:val="18"/>
          <w:highlight w:val="none"/>
        </w:rPr>
        <w:sectPr>
          <w:type w:val="continuous"/>
          <w:pgSz w:w="11850" w:h="16783"/>
          <w:pgMar w:top="1134" w:right="1134" w:bottom="1134" w:left="1417" w:header="0" w:footer="0" w:gutter="0"/>
          <w:pgBorders>
            <w:top w:val="none" w:sz="0" w:space="0"/>
            <w:left w:val="none" w:sz="0" w:space="0"/>
            <w:bottom w:val="none" w:sz="0" w:space="0"/>
            <w:right w:val="none" w:sz="0" w:space="0"/>
          </w:pgBorders>
          <w:pgNumType w:fmt="decimal"/>
          <w:cols w:space="0" w:num="1"/>
          <w:rtlGutter w:val="0"/>
          <w:docGrid w:linePitch="360" w:charSpace="0"/>
        </w:sectPr>
      </w:pPr>
    </w:p>
    <w:p w14:paraId="6EBC8C94">
      <w:pPr>
        <w:pStyle w:val="35"/>
        <w:pageBreakBefore/>
        <w:spacing w:line="360" w:lineRule="auto"/>
        <w:jc w:val="center"/>
        <w:rPr>
          <w:b/>
          <w:kern w:val="0"/>
          <w:sz w:val="44"/>
          <w:szCs w:val="44"/>
          <w:highlight w:val="none"/>
        </w:rPr>
      </w:pPr>
      <w:bookmarkStart w:id="77" w:name="page77"/>
      <w:bookmarkEnd w:id="77"/>
      <w:r>
        <w:rPr>
          <w:rFonts w:hint="eastAsia"/>
          <w:b/>
          <w:kern w:val="0"/>
          <w:sz w:val="44"/>
          <w:szCs w:val="44"/>
          <w:highlight w:val="none"/>
        </w:rPr>
        <w:t>南庄镇农村采购项目合同书</w:t>
      </w:r>
    </w:p>
    <w:p w14:paraId="7150DEA4">
      <w:pPr>
        <w:pStyle w:val="35"/>
        <w:spacing w:line="360" w:lineRule="auto"/>
        <w:rPr>
          <w:szCs w:val="22"/>
          <w:highlight w:val="none"/>
        </w:rPr>
      </w:pPr>
    </w:p>
    <w:tbl>
      <w:tblPr>
        <w:tblStyle w:val="20"/>
        <w:tblW w:w="8580" w:type="dxa"/>
        <w:tblInd w:w="0" w:type="dxa"/>
        <w:tblLayout w:type="fixed"/>
        <w:tblCellMar>
          <w:top w:w="0" w:type="dxa"/>
          <w:left w:w="108" w:type="dxa"/>
          <w:bottom w:w="0" w:type="dxa"/>
          <w:right w:w="108" w:type="dxa"/>
        </w:tblCellMar>
      </w:tblPr>
      <w:tblGrid>
        <w:gridCol w:w="1470"/>
        <w:gridCol w:w="7110"/>
      </w:tblGrid>
      <w:tr w14:paraId="5870AF87">
        <w:tblPrEx>
          <w:tblCellMar>
            <w:top w:w="0" w:type="dxa"/>
            <w:left w:w="108" w:type="dxa"/>
            <w:bottom w:w="0" w:type="dxa"/>
            <w:right w:w="108" w:type="dxa"/>
          </w:tblCellMar>
        </w:tblPrEx>
        <w:trPr>
          <w:trHeight w:val="470" w:hRule="atLeast"/>
        </w:trPr>
        <w:tc>
          <w:tcPr>
            <w:tcW w:w="1470" w:type="dxa"/>
            <w:noWrap w:val="0"/>
            <w:vAlign w:val="bottom"/>
          </w:tcPr>
          <w:p w14:paraId="3FA29960">
            <w:pPr>
              <w:pStyle w:val="35"/>
              <w:keepNext w:val="0"/>
              <w:keepLines w:val="0"/>
              <w:pageBreakBefore w:val="0"/>
              <w:kinsoku/>
              <w:wordWrap/>
              <w:overflowPunct/>
              <w:topLinePunct w:val="0"/>
              <w:autoSpaceDE/>
              <w:autoSpaceDN/>
              <w:bidi w:val="0"/>
              <w:adjustRightInd/>
              <w:snapToGrid/>
              <w:spacing w:line="240" w:lineRule="auto"/>
              <w:jc w:val="both"/>
              <w:textAlignment w:val="auto"/>
              <w:rPr>
                <w:b/>
                <w:sz w:val="24"/>
                <w:szCs w:val="24"/>
                <w:highlight w:val="none"/>
              </w:rPr>
            </w:pPr>
            <w:r>
              <w:rPr>
                <w:rFonts w:hint="eastAsia"/>
                <w:b/>
                <w:sz w:val="24"/>
                <w:szCs w:val="24"/>
                <w:highlight w:val="none"/>
              </w:rPr>
              <w:t>项目名称：</w:t>
            </w:r>
          </w:p>
        </w:tc>
        <w:tc>
          <w:tcPr>
            <w:tcW w:w="7110" w:type="dxa"/>
            <w:tcBorders>
              <w:top w:val="nil"/>
              <w:left w:val="nil"/>
              <w:bottom w:val="single" w:color="auto" w:sz="4" w:space="0"/>
              <w:right w:val="nil"/>
            </w:tcBorders>
            <w:noWrap w:val="0"/>
            <w:vAlign w:val="bottom"/>
          </w:tcPr>
          <w:p w14:paraId="0139FE7A">
            <w:pPr>
              <w:pStyle w:val="35"/>
              <w:keepNext w:val="0"/>
              <w:keepLines w:val="0"/>
              <w:pageBreakBefore w:val="0"/>
              <w:widowControl/>
              <w:kinsoku/>
              <w:wordWrap/>
              <w:overflowPunct/>
              <w:topLinePunct w:val="0"/>
              <w:autoSpaceDE/>
              <w:autoSpaceDN/>
              <w:bidi w:val="0"/>
              <w:adjustRightInd/>
              <w:snapToGrid/>
              <w:spacing w:line="240" w:lineRule="auto"/>
              <w:jc w:val="both"/>
              <w:textAlignment w:val="auto"/>
              <w:rPr>
                <w:rFonts w:hint="eastAsia" w:eastAsia="宋体"/>
                <w:kern w:val="0"/>
                <w:sz w:val="24"/>
                <w:szCs w:val="24"/>
                <w:highlight w:val="none"/>
                <w:lang w:eastAsia="zh-CN"/>
              </w:rPr>
            </w:pPr>
            <w:r>
              <w:rPr>
                <w:rFonts w:hint="eastAsia" w:ascii="宋体" w:hAnsi="宋体"/>
                <w:sz w:val="24"/>
                <w:szCs w:val="24"/>
                <w:highlight w:val="none"/>
                <w:lang w:eastAsia="zh-CN"/>
              </w:rPr>
              <w:t>吉利邓岗村车辆停放管理服务</w:t>
            </w:r>
          </w:p>
        </w:tc>
      </w:tr>
      <w:tr w14:paraId="3DBC7C77">
        <w:tblPrEx>
          <w:tblCellMar>
            <w:top w:w="0" w:type="dxa"/>
            <w:left w:w="108" w:type="dxa"/>
            <w:bottom w:w="0" w:type="dxa"/>
            <w:right w:w="108" w:type="dxa"/>
          </w:tblCellMar>
        </w:tblPrEx>
        <w:trPr>
          <w:trHeight w:val="480" w:hRule="atLeast"/>
        </w:trPr>
        <w:tc>
          <w:tcPr>
            <w:tcW w:w="1470" w:type="dxa"/>
            <w:noWrap w:val="0"/>
            <w:vAlign w:val="bottom"/>
          </w:tcPr>
          <w:p w14:paraId="648B37E5">
            <w:pPr>
              <w:pStyle w:val="35"/>
              <w:keepNext w:val="0"/>
              <w:keepLines w:val="0"/>
              <w:pageBreakBefore w:val="0"/>
              <w:kinsoku/>
              <w:wordWrap/>
              <w:overflowPunct/>
              <w:topLinePunct w:val="0"/>
              <w:autoSpaceDE/>
              <w:autoSpaceDN/>
              <w:bidi w:val="0"/>
              <w:adjustRightInd/>
              <w:snapToGrid/>
              <w:spacing w:line="240" w:lineRule="auto"/>
              <w:jc w:val="both"/>
              <w:textAlignment w:val="auto"/>
              <w:rPr>
                <w:b/>
                <w:sz w:val="24"/>
                <w:szCs w:val="24"/>
                <w:highlight w:val="none"/>
              </w:rPr>
            </w:pPr>
            <w:r>
              <w:rPr>
                <w:rFonts w:hint="eastAsia"/>
                <w:b/>
                <w:sz w:val="24"/>
                <w:szCs w:val="24"/>
                <w:highlight w:val="none"/>
              </w:rPr>
              <w:t>交易编号：</w:t>
            </w:r>
          </w:p>
        </w:tc>
        <w:tc>
          <w:tcPr>
            <w:tcW w:w="7110" w:type="dxa"/>
            <w:tcBorders>
              <w:top w:val="nil"/>
              <w:left w:val="nil"/>
              <w:bottom w:val="single" w:color="auto" w:sz="4" w:space="0"/>
              <w:right w:val="nil"/>
            </w:tcBorders>
            <w:noWrap w:val="0"/>
            <w:vAlign w:val="bottom"/>
          </w:tcPr>
          <w:p w14:paraId="7FD84544">
            <w:pPr>
              <w:pStyle w:val="35"/>
              <w:keepNext w:val="0"/>
              <w:keepLines w:val="0"/>
              <w:pageBreakBefore w:val="0"/>
              <w:widowControl/>
              <w:kinsoku/>
              <w:wordWrap/>
              <w:overflowPunct/>
              <w:topLinePunct w:val="0"/>
              <w:autoSpaceDE/>
              <w:autoSpaceDN/>
              <w:bidi w:val="0"/>
              <w:adjustRightInd/>
              <w:snapToGrid/>
              <w:spacing w:line="240" w:lineRule="auto"/>
              <w:jc w:val="both"/>
              <w:textAlignment w:val="auto"/>
              <w:rPr>
                <w:rFonts w:hint="eastAsia" w:eastAsia="宋体"/>
                <w:kern w:val="0"/>
                <w:sz w:val="24"/>
                <w:szCs w:val="24"/>
                <w:highlight w:val="none"/>
                <w:lang w:eastAsia="zh-CN"/>
              </w:rPr>
            </w:pPr>
            <w:r>
              <w:rPr>
                <w:rFonts w:hint="eastAsia" w:ascii="宋体" w:hAnsi="宋体"/>
                <w:sz w:val="24"/>
                <w:szCs w:val="24"/>
                <w:highlight w:val="none"/>
                <w:lang w:eastAsia="zh-CN"/>
              </w:rPr>
              <w:t>GDZC-24JT197</w:t>
            </w:r>
          </w:p>
        </w:tc>
      </w:tr>
      <w:tr w14:paraId="0909D4A7">
        <w:tblPrEx>
          <w:tblCellMar>
            <w:top w:w="0" w:type="dxa"/>
            <w:left w:w="108" w:type="dxa"/>
            <w:bottom w:w="0" w:type="dxa"/>
            <w:right w:w="108" w:type="dxa"/>
          </w:tblCellMar>
        </w:tblPrEx>
        <w:trPr>
          <w:trHeight w:val="480" w:hRule="atLeast"/>
        </w:trPr>
        <w:tc>
          <w:tcPr>
            <w:tcW w:w="1470" w:type="dxa"/>
            <w:noWrap w:val="0"/>
            <w:vAlign w:val="bottom"/>
          </w:tcPr>
          <w:p w14:paraId="56A2C54C">
            <w:pPr>
              <w:pStyle w:val="35"/>
              <w:keepNext w:val="0"/>
              <w:keepLines w:val="0"/>
              <w:pageBreakBefore w:val="0"/>
              <w:kinsoku/>
              <w:wordWrap/>
              <w:overflowPunct/>
              <w:topLinePunct w:val="0"/>
              <w:autoSpaceDE/>
              <w:autoSpaceDN/>
              <w:bidi w:val="0"/>
              <w:adjustRightInd/>
              <w:snapToGrid/>
              <w:spacing w:line="240" w:lineRule="auto"/>
              <w:jc w:val="both"/>
              <w:textAlignment w:val="auto"/>
              <w:rPr>
                <w:b/>
                <w:sz w:val="24"/>
                <w:szCs w:val="24"/>
                <w:highlight w:val="none"/>
              </w:rPr>
            </w:pPr>
            <w:r>
              <w:rPr>
                <w:rFonts w:hint="eastAsia"/>
                <w:b/>
                <w:sz w:val="24"/>
                <w:szCs w:val="24"/>
                <w:highlight w:val="none"/>
              </w:rPr>
              <w:t>甲方：</w:t>
            </w:r>
          </w:p>
        </w:tc>
        <w:tc>
          <w:tcPr>
            <w:tcW w:w="7110" w:type="dxa"/>
            <w:tcBorders>
              <w:top w:val="single" w:color="auto" w:sz="4" w:space="0"/>
              <w:left w:val="nil"/>
              <w:bottom w:val="single" w:color="auto" w:sz="4" w:space="0"/>
              <w:right w:val="nil"/>
            </w:tcBorders>
            <w:noWrap w:val="0"/>
            <w:vAlign w:val="bottom"/>
          </w:tcPr>
          <w:p w14:paraId="6B5E7AD3">
            <w:pPr>
              <w:pStyle w:val="36"/>
              <w:keepNext w:val="0"/>
              <w:keepLines w:val="0"/>
              <w:pageBreakBefore w:val="0"/>
              <w:kinsoku/>
              <w:wordWrap/>
              <w:overflowPunct/>
              <w:topLinePunct w:val="0"/>
              <w:autoSpaceDE/>
              <w:autoSpaceDN/>
              <w:bidi w:val="0"/>
              <w:adjustRightInd/>
              <w:snapToGrid/>
              <w:spacing w:line="240" w:lineRule="auto"/>
              <w:jc w:val="both"/>
              <w:textAlignment w:val="auto"/>
              <w:rPr>
                <w:rFonts w:hint="eastAsia" w:eastAsia="宋体"/>
                <w:sz w:val="24"/>
                <w:szCs w:val="24"/>
                <w:highlight w:val="none"/>
                <w:lang w:eastAsia="zh-CN"/>
              </w:rPr>
            </w:pPr>
            <w:r>
              <w:rPr>
                <w:rFonts w:hint="eastAsia"/>
                <w:sz w:val="24"/>
                <w:szCs w:val="24"/>
                <w:highlight w:val="none"/>
                <w:lang w:eastAsia="zh-CN"/>
              </w:rPr>
              <w:t>佛山市禅城区南庄镇吉利村邓岗经济合作社</w:t>
            </w:r>
          </w:p>
        </w:tc>
      </w:tr>
      <w:tr w14:paraId="2FC92BC6">
        <w:tblPrEx>
          <w:tblCellMar>
            <w:top w:w="0" w:type="dxa"/>
            <w:left w:w="108" w:type="dxa"/>
            <w:bottom w:w="0" w:type="dxa"/>
            <w:right w:w="108" w:type="dxa"/>
          </w:tblCellMar>
        </w:tblPrEx>
        <w:trPr>
          <w:trHeight w:val="491" w:hRule="atLeast"/>
        </w:trPr>
        <w:tc>
          <w:tcPr>
            <w:tcW w:w="1470" w:type="dxa"/>
            <w:noWrap w:val="0"/>
            <w:vAlign w:val="bottom"/>
          </w:tcPr>
          <w:p w14:paraId="716A21A9">
            <w:pPr>
              <w:pStyle w:val="35"/>
              <w:keepNext w:val="0"/>
              <w:keepLines w:val="0"/>
              <w:pageBreakBefore w:val="0"/>
              <w:kinsoku/>
              <w:wordWrap/>
              <w:overflowPunct/>
              <w:topLinePunct w:val="0"/>
              <w:autoSpaceDE/>
              <w:autoSpaceDN/>
              <w:bidi w:val="0"/>
              <w:adjustRightInd/>
              <w:snapToGrid/>
              <w:spacing w:line="240" w:lineRule="auto"/>
              <w:jc w:val="both"/>
              <w:textAlignment w:val="auto"/>
              <w:rPr>
                <w:b/>
                <w:sz w:val="24"/>
                <w:szCs w:val="24"/>
                <w:highlight w:val="none"/>
              </w:rPr>
            </w:pPr>
            <w:r>
              <w:rPr>
                <w:rFonts w:hint="eastAsia" w:ascii="宋体" w:hAnsi="宋体"/>
                <w:b/>
                <w:sz w:val="24"/>
                <w:szCs w:val="24"/>
                <w:highlight w:val="none"/>
              </w:rPr>
              <w:t>乙方：</w:t>
            </w:r>
          </w:p>
        </w:tc>
        <w:tc>
          <w:tcPr>
            <w:tcW w:w="7110" w:type="dxa"/>
            <w:tcBorders>
              <w:top w:val="single" w:color="auto" w:sz="4" w:space="0"/>
              <w:left w:val="nil"/>
              <w:bottom w:val="single" w:color="auto" w:sz="4" w:space="0"/>
              <w:right w:val="nil"/>
            </w:tcBorders>
            <w:noWrap w:val="0"/>
            <w:vAlign w:val="bottom"/>
          </w:tcPr>
          <w:p w14:paraId="1AB18020">
            <w:pPr>
              <w:pStyle w:val="35"/>
              <w:keepNext w:val="0"/>
              <w:keepLines w:val="0"/>
              <w:pageBreakBefore w:val="0"/>
              <w:kinsoku/>
              <w:wordWrap/>
              <w:overflowPunct/>
              <w:topLinePunct w:val="0"/>
              <w:autoSpaceDE/>
              <w:autoSpaceDN/>
              <w:bidi w:val="0"/>
              <w:adjustRightInd/>
              <w:snapToGrid/>
              <w:spacing w:line="240" w:lineRule="auto"/>
              <w:jc w:val="both"/>
              <w:textAlignment w:val="auto"/>
              <w:rPr>
                <w:rFonts w:ascii="宋体" w:hAnsi="宋体"/>
                <w:b/>
                <w:sz w:val="24"/>
                <w:szCs w:val="24"/>
                <w:highlight w:val="none"/>
              </w:rPr>
            </w:pPr>
            <w:r>
              <w:rPr>
                <w:rFonts w:hint="eastAsia" w:ascii="宋体" w:hAnsi="宋体"/>
                <w:b w:val="0"/>
                <w:bCs/>
                <w:sz w:val="24"/>
                <w:szCs w:val="24"/>
                <w:highlight w:val="none"/>
              </w:rPr>
              <w:t>（</w:t>
            </w:r>
            <w:r>
              <w:rPr>
                <w:rFonts w:hint="eastAsia" w:ascii="宋体" w:hAnsi="宋体"/>
                <w:b w:val="0"/>
                <w:bCs/>
                <w:sz w:val="24"/>
                <w:szCs w:val="24"/>
                <w:highlight w:val="none"/>
                <w:lang w:eastAsia="zh-CN"/>
              </w:rPr>
              <w:t>中标人</w:t>
            </w:r>
            <w:r>
              <w:rPr>
                <w:rFonts w:hint="eastAsia" w:ascii="宋体" w:hAnsi="宋体"/>
                <w:b w:val="0"/>
                <w:bCs/>
                <w:sz w:val="24"/>
                <w:szCs w:val="24"/>
                <w:highlight w:val="none"/>
                <w:lang w:val="en-US" w:eastAsia="zh-CN"/>
              </w:rPr>
              <w:t>名称</w:t>
            </w:r>
            <w:r>
              <w:rPr>
                <w:rFonts w:hint="eastAsia" w:ascii="宋体" w:hAnsi="宋体"/>
                <w:b w:val="0"/>
                <w:bCs/>
                <w:sz w:val="24"/>
                <w:szCs w:val="24"/>
                <w:highlight w:val="none"/>
              </w:rPr>
              <w:t>）</w:t>
            </w:r>
          </w:p>
        </w:tc>
      </w:tr>
    </w:tbl>
    <w:p w14:paraId="13DA18EB">
      <w:pPr>
        <w:pStyle w:val="37"/>
        <w:keepNext w:val="0"/>
        <w:keepLines w:val="0"/>
        <w:pageBreakBefore w:val="0"/>
        <w:widowControl w:val="0"/>
        <w:kinsoku/>
        <w:wordWrap/>
        <w:overflowPunct/>
        <w:topLinePunct w:val="0"/>
        <w:autoSpaceDE/>
        <w:autoSpaceDN/>
        <w:bidi w:val="0"/>
        <w:adjustRightInd/>
        <w:snapToGrid/>
        <w:spacing w:before="157" w:beforeLines="50" w:line="360" w:lineRule="auto"/>
        <w:ind w:firstLine="420"/>
        <w:textAlignment w:val="auto"/>
        <w:rPr>
          <w:szCs w:val="21"/>
          <w:highlight w:val="none"/>
        </w:rPr>
      </w:pPr>
      <w:r>
        <w:rPr>
          <w:rFonts w:hint="eastAsia"/>
          <w:sz w:val="24"/>
          <w:szCs w:val="24"/>
          <w:highlight w:val="none"/>
        </w:rPr>
        <w:t>根据《中华人民共和国民法典》、本项目采购文件的要求，</w:t>
      </w:r>
      <w:r>
        <w:rPr>
          <w:rFonts w:hint="eastAsia"/>
          <w:kern w:val="28"/>
          <w:sz w:val="24"/>
          <w:szCs w:val="24"/>
          <w:highlight w:val="none"/>
        </w:rPr>
        <w:t>经双方协商，</w:t>
      </w:r>
      <w:r>
        <w:rPr>
          <w:rFonts w:hint="eastAsia"/>
          <w:sz w:val="24"/>
          <w:szCs w:val="24"/>
          <w:highlight w:val="none"/>
        </w:rPr>
        <w:t>本着平等互利和诚实信用的原则，</w:t>
      </w:r>
      <w:r>
        <w:rPr>
          <w:rFonts w:hint="eastAsia"/>
          <w:kern w:val="28"/>
          <w:sz w:val="24"/>
          <w:szCs w:val="24"/>
          <w:highlight w:val="none"/>
        </w:rPr>
        <w:t>一致同意签订本合同如下。</w:t>
      </w:r>
    </w:p>
    <w:p w14:paraId="4E5EC100">
      <w:pPr>
        <w:pStyle w:val="36"/>
        <w:numPr>
          <w:ilvl w:val="0"/>
          <w:numId w:val="28"/>
        </w:numPr>
        <w:spacing w:before="240" w:beforeLines="100" w:after="120" w:afterLines="50" w:line="240" w:lineRule="auto"/>
        <w:ind w:left="624" w:leftChars="0" w:hanging="624" w:firstLineChars="0"/>
        <w:rPr>
          <w:rFonts w:hint="eastAsia" w:ascii="宋体" w:hAnsi="宋体" w:eastAsia="宋体" w:cs="宋体"/>
          <w:b/>
          <w:bCs/>
          <w:sz w:val="24"/>
          <w:szCs w:val="24"/>
          <w:highlight w:val="none"/>
        </w:rPr>
      </w:pPr>
      <w:bookmarkStart w:id="78" w:name="_Toc78604605"/>
      <w:r>
        <w:rPr>
          <w:rFonts w:hint="eastAsia" w:ascii="宋体" w:hAnsi="宋体" w:eastAsia="宋体" w:cs="宋体"/>
          <w:b/>
          <w:bCs/>
          <w:sz w:val="24"/>
          <w:szCs w:val="24"/>
          <w:highlight w:val="none"/>
        </w:rPr>
        <w:t>采购清单：见附件一《报价清单明细表》。</w:t>
      </w:r>
    </w:p>
    <w:bookmarkEnd w:id="78"/>
    <w:p w14:paraId="492E96FD">
      <w:pPr>
        <w:pStyle w:val="36"/>
        <w:numPr>
          <w:ilvl w:val="0"/>
          <w:numId w:val="28"/>
        </w:numPr>
        <w:spacing w:before="240" w:beforeLines="100" w:after="120" w:afterLines="50" w:line="240" w:lineRule="auto"/>
        <w:ind w:left="624" w:leftChars="0" w:hanging="624" w:firstLineChars="0"/>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项目主要内容</w:t>
      </w:r>
    </w:p>
    <w:p w14:paraId="6565395F">
      <w:pPr>
        <w:pStyle w:val="31"/>
        <w:numPr>
          <w:ilvl w:val="0"/>
          <w:numId w:val="29"/>
        </w:numPr>
        <w:spacing w:before="240" w:beforeLines="100" w:after="120" w:afterLines="50" w:line="360" w:lineRule="auto"/>
        <w:ind w:left="624" w:leftChars="0" w:hanging="624" w:firstLineChars="0"/>
        <w:rPr>
          <w:rFonts w:hint="eastAsia" w:ascii="宋体" w:hAnsi="宋体" w:eastAsia="宋体" w:cs="宋体"/>
          <w:b/>
          <w:sz w:val="24"/>
          <w:highlight w:val="none"/>
        </w:rPr>
      </w:pPr>
      <w:r>
        <w:rPr>
          <w:rFonts w:hint="eastAsia" w:ascii="宋体" w:hAnsi="宋体" w:eastAsia="宋体" w:cs="宋体"/>
          <w:b/>
          <w:sz w:val="24"/>
          <w:highlight w:val="none"/>
        </w:rPr>
        <w:t>项目背景</w:t>
      </w:r>
    </w:p>
    <w:p w14:paraId="054B3B3E">
      <w:pPr>
        <w:pStyle w:val="31"/>
        <w:numPr>
          <w:ilvl w:val="1"/>
          <w:numId w:val="29"/>
        </w:numPr>
        <w:spacing w:line="360" w:lineRule="auto"/>
        <w:ind w:left="415" w:leftChars="0" w:hanging="415" w:hangingChars="173"/>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根据现行法律法规，甲方将位于吉利邓岗村车辆停放管理服务工作委托给乙方经营管理，合同期限为5年，自2025年1月1日至2029年12月31日止，乙方须按合同金额向甲方支付费用。</w:t>
      </w:r>
    </w:p>
    <w:p w14:paraId="3025EA4E">
      <w:pPr>
        <w:pStyle w:val="31"/>
        <w:numPr>
          <w:ilvl w:val="0"/>
          <w:numId w:val="29"/>
        </w:numPr>
        <w:spacing w:line="360" w:lineRule="auto"/>
        <w:ind w:left="417" w:leftChars="0" w:hanging="417" w:hangingChars="173"/>
        <w:rPr>
          <w:rFonts w:hint="eastAsia" w:ascii="宋体" w:hAnsi="宋体" w:eastAsia="宋体" w:cs="宋体"/>
          <w:sz w:val="24"/>
          <w:szCs w:val="24"/>
          <w:highlight w:val="none"/>
        </w:rPr>
      </w:pPr>
      <w:r>
        <w:rPr>
          <w:rFonts w:hint="eastAsia" w:ascii="宋体" w:hAnsi="宋体" w:eastAsia="宋体" w:cs="宋体"/>
          <w:b/>
          <w:bCs/>
          <w:sz w:val="24"/>
          <w:szCs w:val="24"/>
          <w:highlight w:val="none"/>
          <w:lang w:val="en-US" w:eastAsia="zh-CN"/>
        </w:rPr>
        <w:t>项目概况</w:t>
      </w:r>
    </w:p>
    <w:p w14:paraId="678E96E4">
      <w:pPr>
        <w:pStyle w:val="31"/>
        <w:numPr>
          <w:ilvl w:val="1"/>
          <w:numId w:val="29"/>
        </w:numPr>
        <w:spacing w:line="360" w:lineRule="auto"/>
        <w:ind w:left="415" w:leftChars="0" w:hanging="415" w:hangingChars="173"/>
        <w:rPr>
          <w:rFonts w:hint="eastAsia" w:ascii="宋体" w:hAnsi="宋体" w:eastAsia="宋体" w:cs="宋体"/>
          <w:sz w:val="24"/>
          <w:szCs w:val="24"/>
          <w:highlight w:val="none"/>
        </w:rPr>
      </w:pPr>
      <w:r>
        <w:rPr>
          <w:rFonts w:hint="eastAsia" w:ascii="宋体" w:hAnsi="宋体" w:cs="宋体"/>
          <w:sz w:val="24"/>
          <w:szCs w:val="24"/>
          <w:highlight w:val="none"/>
          <w:lang w:eastAsia="zh-CN"/>
        </w:rPr>
        <w:t>为解决本村停车需求矛盾和车辆乱停乱放的问题，构建简约高效的停车治理体系，提升精细化停车管理水平，响应《佛山市人民政府办公室关于规范村（社区）停车管理的指导意见》文件精神，现吉利邓岗村规划引入第三方停车管理公司进行运营管理，本项目为吉利邓岗村车辆停放管理服务。</w:t>
      </w:r>
    </w:p>
    <w:p w14:paraId="60AD6A99">
      <w:pPr>
        <w:pStyle w:val="31"/>
        <w:numPr>
          <w:ilvl w:val="0"/>
          <w:numId w:val="29"/>
        </w:numPr>
        <w:spacing w:line="360" w:lineRule="auto"/>
        <w:ind w:left="417" w:leftChars="0" w:hanging="417" w:hangingChars="173"/>
        <w:rPr>
          <w:rFonts w:hint="eastAsia" w:ascii="宋体" w:hAnsi="宋体" w:eastAsia="宋体" w:cs="宋体"/>
          <w:b/>
          <w:bCs/>
          <w:sz w:val="24"/>
          <w:szCs w:val="24"/>
          <w:highlight w:val="none"/>
          <w:lang w:val="en-US" w:eastAsia="zh-CN"/>
        </w:rPr>
      </w:pPr>
      <w:r>
        <w:rPr>
          <w:rFonts w:hint="eastAsia" w:ascii="宋体" w:hAnsi="宋体" w:eastAsia="宋体" w:cs="宋体"/>
          <w:b/>
          <w:bCs/>
          <w:sz w:val="24"/>
          <w:szCs w:val="24"/>
          <w:highlight w:val="none"/>
          <w:lang w:val="en-US" w:eastAsia="zh-CN"/>
        </w:rPr>
        <w:t>范围区域</w:t>
      </w:r>
    </w:p>
    <w:p w14:paraId="2FFFE123">
      <w:pPr>
        <w:pStyle w:val="31"/>
        <w:numPr>
          <w:ilvl w:val="1"/>
          <w:numId w:val="29"/>
        </w:numPr>
        <w:spacing w:line="360" w:lineRule="auto"/>
        <w:ind w:left="415" w:leftChars="0" w:hanging="415" w:hangingChars="173"/>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点位</w:t>
      </w:r>
    </w:p>
    <w:p w14:paraId="3B21D2AB">
      <w:pPr>
        <w:pStyle w:val="31"/>
        <w:numPr>
          <w:ilvl w:val="0"/>
          <w:numId w:val="0"/>
        </w:numPr>
        <w:spacing w:line="360" w:lineRule="auto"/>
        <w:ind w:left="0" w:leftChars="0" w:firstLine="420" w:firstLineChars="175"/>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邓岗村闸口（村心塘村入口，长地仓库边等2个车辆进出通道点位）。</w:t>
      </w:r>
    </w:p>
    <w:p w14:paraId="022C143A">
      <w:pPr>
        <w:pStyle w:val="31"/>
        <w:numPr>
          <w:ilvl w:val="0"/>
          <w:numId w:val="0"/>
        </w:numPr>
        <w:spacing w:line="360" w:lineRule="auto"/>
        <w:ind w:leftChars="-173"/>
        <w:rPr>
          <w:rFonts w:hint="eastAsia" w:ascii="宋体" w:hAnsi="宋体" w:eastAsia="宋体" w:cs="宋体"/>
          <w:b/>
          <w:bCs/>
          <w:sz w:val="24"/>
          <w:szCs w:val="24"/>
          <w:highlight w:val="none"/>
          <w:lang w:val="en-US" w:eastAsia="zh-CN"/>
        </w:rPr>
      </w:pPr>
    </w:p>
    <w:p w14:paraId="2CDC2E0C">
      <w:pPr>
        <w:pStyle w:val="31"/>
        <w:numPr>
          <w:ilvl w:val="0"/>
          <w:numId w:val="29"/>
        </w:numPr>
        <w:spacing w:line="360" w:lineRule="auto"/>
        <w:ind w:left="417" w:leftChars="0" w:hanging="417" w:hangingChars="173"/>
        <w:rPr>
          <w:rFonts w:hint="eastAsia" w:ascii="宋体" w:hAnsi="宋体" w:eastAsia="宋体" w:cs="宋体"/>
          <w:b/>
          <w:bCs/>
          <w:sz w:val="24"/>
          <w:szCs w:val="24"/>
          <w:highlight w:val="none"/>
          <w:lang w:val="en-US" w:eastAsia="zh-CN"/>
        </w:rPr>
      </w:pPr>
      <w:r>
        <w:rPr>
          <w:rFonts w:hint="eastAsia" w:ascii="宋体" w:hAnsi="宋体" w:eastAsia="宋体" w:cs="宋体"/>
          <w:b/>
          <w:bCs/>
          <w:sz w:val="24"/>
          <w:szCs w:val="24"/>
          <w:highlight w:val="none"/>
          <w:lang w:val="en-US" w:eastAsia="zh-CN"/>
        </w:rPr>
        <w:t>堤泊位设置及人员配置</w:t>
      </w:r>
    </w:p>
    <w:p w14:paraId="69053623">
      <w:pPr>
        <w:pStyle w:val="31"/>
        <w:keepNext w:val="0"/>
        <w:keepLines w:val="0"/>
        <w:pageBreakBefore w:val="0"/>
        <w:widowControl w:val="0"/>
        <w:numPr>
          <w:ilvl w:val="0"/>
          <w:numId w:val="0"/>
        </w:numPr>
        <w:tabs>
          <w:tab w:val="left" w:pos="220"/>
        </w:tabs>
        <w:kinsoku/>
        <w:wordWrap/>
        <w:overflowPunct/>
        <w:topLinePunct w:val="0"/>
        <w:autoSpaceDE/>
        <w:autoSpaceDN/>
        <w:bidi w:val="0"/>
        <w:adjustRightInd/>
        <w:snapToGrid/>
        <w:spacing w:line="360" w:lineRule="auto"/>
        <w:ind w:left="0" w:leftChars="0" w:firstLine="420" w:firstLineChars="175"/>
        <w:textAlignment w:val="auto"/>
        <w:rPr>
          <w:rFonts w:hint="eastAsia" w:ascii="宋体" w:hAnsi="宋体" w:eastAsia="宋体" w:cs="宋体"/>
          <w:sz w:val="24"/>
          <w:szCs w:val="24"/>
          <w:highlight w:val="none"/>
          <w:lang w:val="en-US" w:eastAsia="zh-CN"/>
        </w:rPr>
      </w:pPr>
      <w:r>
        <w:rPr>
          <w:rFonts w:hint="eastAsia" w:ascii="宋体" w:hAnsi="宋体" w:eastAsia="宋体" w:cs="宋体"/>
          <w:b w:val="0"/>
          <w:bCs w:val="0"/>
          <w:sz w:val="24"/>
          <w:szCs w:val="24"/>
          <w:highlight w:val="none"/>
          <w:lang w:val="en-US" w:eastAsia="zh-CN"/>
        </w:rPr>
        <w:t>目前</w:t>
      </w:r>
      <w:r>
        <w:rPr>
          <w:rFonts w:hint="eastAsia" w:ascii="宋体" w:hAnsi="宋体" w:cs="宋体"/>
          <w:b w:val="0"/>
          <w:bCs w:val="0"/>
          <w:sz w:val="24"/>
          <w:szCs w:val="24"/>
          <w:highlight w:val="none"/>
          <w:lang w:val="en-US" w:eastAsia="zh-CN"/>
        </w:rPr>
        <w:t>吉利邓岗村已有划线车位约400个</w:t>
      </w:r>
      <w:r>
        <w:rPr>
          <w:rFonts w:hint="eastAsia" w:ascii="宋体" w:hAnsi="宋体" w:eastAsia="宋体" w:cs="宋体"/>
          <w:b w:val="0"/>
          <w:bCs w:val="0"/>
          <w:sz w:val="24"/>
          <w:szCs w:val="24"/>
          <w:highlight w:val="none"/>
          <w:lang w:val="en-US" w:eastAsia="zh-CN"/>
        </w:rPr>
        <w:t>，</w:t>
      </w:r>
      <w:r>
        <w:rPr>
          <w:rFonts w:hint="eastAsia" w:ascii="宋体" w:hAnsi="宋体" w:cs="宋体"/>
          <w:b w:val="0"/>
          <w:bCs w:val="0"/>
          <w:sz w:val="24"/>
          <w:szCs w:val="24"/>
          <w:highlight w:val="none"/>
          <w:lang w:val="en-US" w:eastAsia="zh-CN"/>
        </w:rPr>
        <w:t>乙方</w:t>
      </w:r>
      <w:r>
        <w:rPr>
          <w:rFonts w:hint="eastAsia" w:ascii="宋体" w:hAnsi="宋体" w:eastAsia="宋体" w:cs="宋体"/>
          <w:b w:val="0"/>
          <w:bCs w:val="0"/>
          <w:sz w:val="24"/>
          <w:szCs w:val="24"/>
          <w:highlight w:val="none"/>
          <w:lang w:val="en-US" w:eastAsia="zh-CN"/>
        </w:rPr>
        <w:t>需</w:t>
      </w:r>
      <w:r>
        <w:rPr>
          <w:rFonts w:hint="eastAsia" w:ascii="宋体" w:hAnsi="宋体" w:cs="宋体"/>
          <w:b w:val="0"/>
          <w:bCs w:val="0"/>
          <w:sz w:val="24"/>
          <w:szCs w:val="24"/>
          <w:highlight w:val="none"/>
          <w:lang w:val="en-US" w:eastAsia="zh-CN"/>
        </w:rPr>
        <w:t>按照本项目约定</w:t>
      </w:r>
      <w:r>
        <w:rPr>
          <w:rFonts w:hint="eastAsia" w:ascii="宋体" w:hAnsi="宋体" w:eastAsia="宋体" w:cs="宋体"/>
          <w:b w:val="0"/>
          <w:bCs w:val="0"/>
          <w:sz w:val="24"/>
          <w:szCs w:val="24"/>
          <w:highlight w:val="none"/>
          <w:lang w:val="en-US" w:eastAsia="zh-CN"/>
        </w:rPr>
        <w:t>范围设置合理的泊位进行管理，如需增加或减少车位，需提交可行性方案报</w:t>
      </w:r>
      <w:r>
        <w:rPr>
          <w:rFonts w:hint="eastAsia" w:ascii="宋体" w:hAnsi="宋体" w:cs="宋体"/>
          <w:b w:val="0"/>
          <w:bCs w:val="0"/>
          <w:sz w:val="24"/>
          <w:szCs w:val="24"/>
          <w:highlight w:val="none"/>
          <w:lang w:val="en-US" w:eastAsia="zh-CN"/>
        </w:rPr>
        <w:t>甲方</w:t>
      </w:r>
      <w:r>
        <w:rPr>
          <w:rFonts w:hint="eastAsia" w:ascii="宋体" w:hAnsi="宋体" w:eastAsia="宋体" w:cs="宋体"/>
          <w:b w:val="0"/>
          <w:bCs w:val="0"/>
          <w:sz w:val="24"/>
          <w:szCs w:val="24"/>
          <w:highlight w:val="none"/>
          <w:lang w:val="en-US" w:eastAsia="zh-CN"/>
        </w:rPr>
        <w:t>审批后方可进行操作。另外</w:t>
      </w:r>
      <w:r>
        <w:rPr>
          <w:rFonts w:hint="eastAsia" w:ascii="宋体" w:hAnsi="宋体" w:cs="宋体"/>
          <w:b w:val="0"/>
          <w:bCs w:val="0"/>
          <w:sz w:val="24"/>
          <w:szCs w:val="24"/>
          <w:highlight w:val="none"/>
          <w:lang w:val="en-US" w:eastAsia="zh-CN"/>
        </w:rPr>
        <w:t>乙方</w:t>
      </w:r>
      <w:r>
        <w:rPr>
          <w:rFonts w:hint="eastAsia" w:ascii="宋体" w:hAnsi="宋体" w:eastAsia="宋体" w:cs="宋体"/>
          <w:b w:val="0"/>
          <w:bCs w:val="0"/>
          <w:sz w:val="24"/>
          <w:szCs w:val="24"/>
          <w:highlight w:val="none"/>
          <w:lang w:val="en-US" w:eastAsia="zh-CN"/>
        </w:rPr>
        <w:t>需配备不少于3名人员在现场进行24小时管理。</w:t>
      </w:r>
      <w:r>
        <w:rPr>
          <w:rFonts w:hint="eastAsia" w:ascii="宋体" w:hAnsi="宋体" w:eastAsia="宋体" w:cs="宋体"/>
          <w:b w:val="0"/>
          <w:bCs w:val="0"/>
          <w:sz w:val="24"/>
          <w:szCs w:val="24"/>
          <w:highlight w:val="none"/>
          <w:lang w:val="en-US" w:eastAsia="zh-CN"/>
        </w:rPr>
        <w:br w:type="textWrapping"/>
      </w:r>
    </w:p>
    <w:p w14:paraId="3A7F303B">
      <w:pPr>
        <w:pStyle w:val="31"/>
        <w:numPr>
          <w:ilvl w:val="0"/>
          <w:numId w:val="29"/>
        </w:numPr>
        <w:spacing w:line="360" w:lineRule="auto"/>
        <w:ind w:left="417" w:leftChars="0" w:hanging="417" w:hangingChars="173"/>
        <w:rPr>
          <w:rFonts w:hint="eastAsia" w:ascii="宋体" w:hAnsi="宋体" w:eastAsia="宋体" w:cs="宋体"/>
          <w:b/>
          <w:bCs/>
          <w:sz w:val="24"/>
          <w:szCs w:val="24"/>
          <w:highlight w:val="none"/>
          <w:lang w:val="en-US" w:eastAsia="zh-CN"/>
        </w:rPr>
      </w:pPr>
      <w:r>
        <w:rPr>
          <w:rFonts w:hint="eastAsia" w:ascii="宋体" w:hAnsi="宋体" w:eastAsia="宋体" w:cs="宋体"/>
          <w:b/>
          <w:bCs/>
          <w:sz w:val="24"/>
          <w:szCs w:val="24"/>
          <w:highlight w:val="none"/>
          <w:lang w:val="en-US" w:eastAsia="zh-CN"/>
        </w:rPr>
        <w:t>运营管理</w:t>
      </w:r>
    </w:p>
    <w:p w14:paraId="1B10D449">
      <w:pPr>
        <w:pStyle w:val="31"/>
        <w:keepNext w:val="0"/>
        <w:keepLines w:val="0"/>
        <w:pageBreakBefore w:val="0"/>
        <w:widowControl w:val="0"/>
        <w:numPr>
          <w:ilvl w:val="1"/>
          <w:numId w:val="29"/>
        </w:numPr>
        <w:kinsoku/>
        <w:wordWrap/>
        <w:overflowPunct/>
        <w:topLinePunct w:val="0"/>
        <w:autoSpaceDE/>
        <w:autoSpaceDN/>
        <w:bidi w:val="0"/>
        <w:adjustRightInd/>
        <w:snapToGrid/>
        <w:spacing w:line="360" w:lineRule="auto"/>
        <w:ind w:left="415" w:leftChars="0" w:hanging="415" w:hangingChars="173"/>
        <w:textAlignment w:val="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停车收费方案</w:t>
      </w:r>
    </w:p>
    <w:p w14:paraId="38A235F1">
      <w:pPr>
        <w:pStyle w:val="31"/>
        <w:keepNext w:val="0"/>
        <w:keepLines w:val="0"/>
        <w:pageBreakBefore w:val="0"/>
        <w:widowControl w:val="0"/>
        <w:numPr>
          <w:ilvl w:val="2"/>
          <w:numId w:val="29"/>
        </w:numPr>
        <w:kinsoku/>
        <w:wordWrap/>
        <w:overflowPunct/>
        <w:topLinePunct w:val="0"/>
        <w:autoSpaceDE/>
        <w:autoSpaceDN/>
        <w:bidi w:val="0"/>
        <w:adjustRightInd/>
        <w:snapToGrid/>
        <w:spacing w:line="360" w:lineRule="auto"/>
        <w:ind w:left="415" w:leftChars="0" w:hanging="415" w:hangingChars="173"/>
        <w:textAlignment w:val="auto"/>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t>停车费收取对象为临时停放车辆和月租车。乙方须无条件提供约280个VIP车位给邓岗村小组集体自行分配使用，该280个VIP车位仅用于停放吉利邓岗村村民的自有车辆，但须进行实名登记。</w:t>
      </w:r>
    </w:p>
    <w:p w14:paraId="616D3A7F">
      <w:pPr>
        <w:pStyle w:val="31"/>
        <w:keepNext w:val="0"/>
        <w:keepLines w:val="0"/>
        <w:pageBreakBefore w:val="0"/>
        <w:widowControl w:val="0"/>
        <w:numPr>
          <w:ilvl w:val="2"/>
          <w:numId w:val="29"/>
        </w:numPr>
        <w:kinsoku/>
        <w:wordWrap/>
        <w:overflowPunct/>
        <w:topLinePunct w:val="0"/>
        <w:autoSpaceDE/>
        <w:autoSpaceDN/>
        <w:bidi w:val="0"/>
        <w:adjustRightInd/>
        <w:snapToGrid/>
        <w:spacing w:line="360" w:lineRule="auto"/>
        <w:ind w:left="415" w:leftChars="0" w:hanging="415" w:hangingChars="173"/>
        <w:textAlignment w:val="auto"/>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t>吉利邓岗村村民自有车辆必须是吉利邓岗村户籍村民，办理必须出示吉利邓岗村村民身份证、户口本等证明及属于本人的行驶证资料，如出现亲属关系的由招标方出示相关证明方可办理，例如嫁入吉利邓岗村但户口未迁入、吉利邓岗村村民嫁出并且户口已迁出等情况。属于吉利邓岗村集体物业的租户，每个租户给予两辆车全天免费停放。</w:t>
      </w:r>
    </w:p>
    <w:p w14:paraId="03DD19AC">
      <w:pPr>
        <w:pStyle w:val="31"/>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173"/>
        <w:textAlignment w:val="auto"/>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pPr>
    </w:p>
    <w:p w14:paraId="1569D8AB">
      <w:pPr>
        <w:pStyle w:val="31"/>
        <w:keepNext w:val="0"/>
        <w:keepLines w:val="0"/>
        <w:pageBreakBefore w:val="0"/>
        <w:numPr>
          <w:ilvl w:val="2"/>
          <w:numId w:val="29"/>
        </w:numPr>
        <w:kinsoku/>
        <w:wordWrap/>
        <w:overflowPunct/>
        <w:topLinePunct w:val="0"/>
        <w:autoSpaceDE/>
        <w:autoSpaceDN/>
        <w:bidi w:val="0"/>
        <w:adjustRightInd/>
        <w:snapToGrid/>
        <w:spacing w:line="360" w:lineRule="auto"/>
        <w:ind w:left="415" w:leftChars="0" w:hanging="415" w:hangingChars="173"/>
        <w:textAlignment w:val="auto"/>
        <w:rPr>
          <w:rFonts w:hint="eastAsia" w:ascii="宋体" w:hAnsi="宋体" w:eastAsia="宋体" w:cs="宋体"/>
          <w:b w:val="0"/>
          <w:bCs w:val="0"/>
          <w:color w:val="auto"/>
          <w:sz w:val="24"/>
          <w:szCs w:val="24"/>
          <w:highlight w:val="none"/>
          <w:lang w:val="en-US" w:eastAsia="zh-CN"/>
        </w:rPr>
      </w:pPr>
      <w:r>
        <w:rPr>
          <w:rFonts w:hint="eastAsia" w:ascii="宋体" w:hAnsi="宋体" w:cs="宋体"/>
          <w:b w:val="0"/>
          <w:bCs w:val="0"/>
          <w:color w:val="auto"/>
          <w:sz w:val="24"/>
          <w:szCs w:val="24"/>
          <w:highlight w:val="none"/>
          <w:lang w:val="en-US" w:eastAsia="zh-CN"/>
        </w:rPr>
        <w:t>临时停车收费标准</w:t>
      </w:r>
    </w:p>
    <w:p w14:paraId="107FCD06">
      <w:pPr>
        <w:pStyle w:val="31"/>
        <w:keepNext w:val="0"/>
        <w:keepLines w:val="0"/>
        <w:pageBreakBefore w:val="0"/>
        <w:numPr>
          <w:ilvl w:val="3"/>
          <w:numId w:val="29"/>
        </w:numPr>
        <w:kinsoku/>
        <w:wordWrap/>
        <w:overflowPunct/>
        <w:topLinePunct w:val="0"/>
        <w:autoSpaceDE/>
        <w:autoSpaceDN/>
        <w:bidi w:val="0"/>
        <w:adjustRightInd/>
        <w:snapToGrid/>
        <w:spacing w:line="360" w:lineRule="auto"/>
        <w:ind w:left="415" w:leftChars="0" w:hanging="415" w:hangingChars="173"/>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小车类：3小时内免费，超3小时后按5元计算，第二小时后每小时增3元（不足1小时的按1小时计算）,每天24小时内最高限价20元，停放超过24小时以上按上述标准累加收费；车辆缴费后，需在15分钟内离场，超时则重新计时收费。（免费停车时长如有调整，以甲方书面通知为准）。</w:t>
      </w:r>
    </w:p>
    <w:p w14:paraId="093EB540">
      <w:pPr>
        <w:pStyle w:val="31"/>
        <w:keepNext w:val="0"/>
        <w:keepLines w:val="0"/>
        <w:pageBreakBefore w:val="0"/>
        <w:numPr>
          <w:ilvl w:val="3"/>
          <w:numId w:val="29"/>
        </w:numPr>
        <w:kinsoku/>
        <w:wordWrap/>
        <w:overflowPunct/>
        <w:topLinePunct w:val="0"/>
        <w:autoSpaceDE/>
        <w:autoSpaceDN/>
        <w:bidi w:val="0"/>
        <w:adjustRightInd/>
        <w:snapToGrid/>
        <w:spacing w:line="360" w:lineRule="auto"/>
        <w:ind w:left="415" w:leftChars="0" w:hanging="415" w:hangingChars="173"/>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每辆车每天累计免费停车时长为3小时。</w:t>
      </w:r>
    </w:p>
    <w:p w14:paraId="38713755">
      <w:pPr>
        <w:pStyle w:val="31"/>
        <w:keepNext w:val="0"/>
        <w:keepLines w:val="0"/>
        <w:pageBreakBefore w:val="0"/>
        <w:numPr>
          <w:ilvl w:val="0"/>
          <w:numId w:val="0"/>
        </w:numPr>
        <w:kinsoku/>
        <w:wordWrap/>
        <w:overflowPunct/>
        <w:topLinePunct w:val="0"/>
        <w:autoSpaceDE/>
        <w:autoSpaceDN/>
        <w:bidi w:val="0"/>
        <w:adjustRightInd/>
        <w:snapToGrid/>
        <w:spacing w:line="360" w:lineRule="auto"/>
        <w:ind w:leftChars="-173"/>
        <w:textAlignment w:val="auto"/>
        <w:rPr>
          <w:rFonts w:hint="eastAsia" w:ascii="宋体" w:hAnsi="宋体" w:eastAsia="宋体" w:cs="宋体"/>
          <w:sz w:val="24"/>
          <w:szCs w:val="24"/>
          <w:highlight w:val="none"/>
          <w:lang w:val="en-US" w:eastAsia="zh-CN"/>
        </w:rPr>
      </w:pPr>
    </w:p>
    <w:p w14:paraId="422666BB">
      <w:pPr>
        <w:pStyle w:val="31"/>
        <w:keepNext w:val="0"/>
        <w:keepLines w:val="0"/>
        <w:pageBreakBefore w:val="0"/>
        <w:numPr>
          <w:ilvl w:val="2"/>
          <w:numId w:val="29"/>
        </w:numPr>
        <w:kinsoku/>
        <w:wordWrap/>
        <w:overflowPunct/>
        <w:topLinePunct w:val="0"/>
        <w:autoSpaceDE/>
        <w:autoSpaceDN/>
        <w:bidi w:val="0"/>
        <w:adjustRightInd/>
        <w:snapToGrid/>
        <w:spacing w:line="360" w:lineRule="auto"/>
        <w:ind w:left="415" w:leftChars="0" w:hanging="415" w:hangingChars="173"/>
        <w:textAlignment w:val="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月租类收费标准</w:t>
      </w:r>
    </w:p>
    <w:p w14:paraId="0EE9126F">
      <w:pPr>
        <w:pStyle w:val="31"/>
        <w:keepNext w:val="0"/>
        <w:keepLines w:val="0"/>
        <w:pageBreakBefore w:val="0"/>
        <w:numPr>
          <w:ilvl w:val="0"/>
          <w:numId w:val="0"/>
        </w:numPr>
        <w:kinsoku/>
        <w:wordWrap/>
        <w:overflowPunct/>
        <w:topLinePunct w:val="0"/>
        <w:autoSpaceDE/>
        <w:autoSpaceDN/>
        <w:bidi w:val="0"/>
        <w:adjustRightInd/>
        <w:snapToGrid/>
        <w:spacing w:line="360" w:lineRule="auto"/>
        <w:ind w:leftChars="-173" w:firstLine="480" w:firstLineChars="200"/>
        <w:textAlignment w:val="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符合以下条件的车辆可办理月卡（按季度收取），月租办理最多可办理一年，月租车辆可按以下方案享有以下优惠。</w:t>
      </w:r>
    </w:p>
    <w:p w14:paraId="7B899418">
      <w:pPr>
        <w:pStyle w:val="31"/>
        <w:keepNext w:val="0"/>
        <w:keepLines w:val="0"/>
        <w:pageBreakBefore w:val="0"/>
        <w:numPr>
          <w:ilvl w:val="3"/>
          <w:numId w:val="29"/>
        </w:numPr>
        <w:kinsoku/>
        <w:wordWrap/>
        <w:overflowPunct/>
        <w:topLinePunct w:val="0"/>
        <w:autoSpaceDE/>
        <w:autoSpaceDN/>
        <w:bidi w:val="0"/>
        <w:adjustRightInd/>
        <w:snapToGrid/>
        <w:spacing w:line="360" w:lineRule="auto"/>
        <w:ind w:left="415" w:leftChars="0" w:hanging="415" w:hangingChars="173"/>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小车：最高不超过150元/月/辆（一次性缴纳的按1年优惠2个月）。</w:t>
      </w:r>
    </w:p>
    <w:p w14:paraId="397C41EB">
      <w:pPr>
        <w:pStyle w:val="31"/>
        <w:keepNext w:val="0"/>
        <w:keepLines w:val="0"/>
        <w:pageBreakBefore w:val="0"/>
        <w:numPr>
          <w:ilvl w:val="3"/>
          <w:numId w:val="29"/>
        </w:numPr>
        <w:kinsoku/>
        <w:wordWrap/>
        <w:overflowPunct/>
        <w:topLinePunct w:val="0"/>
        <w:autoSpaceDE/>
        <w:autoSpaceDN/>
        <w:bidi w:val="0"/>
        <w:adjustRightInd/>
        <w:snapToGrid/>
        <w:spacing w:line="360" w:lineRule="auto"/>
        <w:ind w:left="415" w:leftChars="0" w:hanging="415" w:hangingChars="173"/>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蓝牌小货车：最高不超过250元/月/辆（一次性缴纳的按1年优惠2个月）。</w:t>
      </w:r>
    </w:p>
    <w:p w14:paraId="2B5B5BB4">
      <w:pPr>
        <w:pStyle w:val="31"/>
        <w:keepNext w:val="0"/>
        <w:keepLines w:val="0"/>
        <w:pageBreakBefore w:val="0"/>
        <w:widowControl w:val="0"/>
        <w:numPr>
          <w:ilvl w:val="0"/>
          <w:numId w:val="0"/>
        </w:numPr>
        <w:tabs>
          <w:tab w:val="left" w:pos="992"/>
        </w:tabs>
        <w:kinsoku/>
        <w:wordWrap/>
        <w:overflowPunct/>
        <w:topLinePunct w:val="0"/>
        <w:autoSpaceDE/>
        <w:autoSpaceDN/>
        <w:bidi w:val="0"/>
        <w:adjustRightInd/>
        <w:snapToGrid/>
        <w:spacing w:line="360" w:lineRule="auto"/>
        <w:ind w:left="479" w:leftChars="228" w:firstLine="62" w:firstLineChars="26"/>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注：</w:t>
      </w:r>
      <w:r>
        <w:rPr>
          <w:rFonts w:hint="eastAsia" w:ascii="宋体" w:hAnsi="宋体" w:eastAsia="宋体" w:cs="宋体"/>
          <w:color w:val="auto"/>
          <w:sz w:val="24"/>
          <w:szCs w:val="24"/>
          <w:highlight w:val="none"/>
        </w:rPr>
        <w:t>逾期未办月/卡的车辆系统自动按临时停车收费标准收费</w:t>
      </w:r>
    </w:p>
    <w:p w14:paraId="2FA893E6">
      <w:pPr>
        <w:pStyle w:val="31"/>
        <w:keepNext w:val="0"/>
        <w:keepLines w:val="0"/>
        <w:pageBreakBefore w:val="0"/>
        <w:widowControl w:val="0"/>
        <w:numPr>
          <w:ilvl w:val="0"/>
          <w:numId w:val="0"/>
        </w:numPr>
        <w:tabs>
          <w:tab w:val="left" w:pos="992"/>
        </w:tabs>
        <w:kinsoku/>
        <w:wordWrap/>
        <w:overflowPunct/>
        <w:topLinePunct w:val="0"/>
        <w:autoSpaceDE/>
        <w:autoSpaceDN/>
        <w:bidi w:val="0"/>
        <w:adjustRightInd/>
        <w:snapToGrid/>
        <w:spacing w:line="360" w:lineRule="auto"/>
        <w:ind w:left="415" w:leftChars="0" w:hanging="415" w:hangingChars="173"/>
        <w:jc w:val="both"/>
        <w:textAlignment w:val="auto"/>
        <w:rPr>
          <w:rFonts w:hint="eastAsia" w:ascii="宋体" w:hAnsi="宋体" w:eastAsia="宋体" w:cs="宋体"/>
          <w:color w:val="auto"/>
          <w:sz w:val="24"/>
          <w:szCs w:val="24"/>
          <w:highlight w:val="none"/>
          <w:lang w:val="en-US" w:eastAsia="zh-CN"/>
        </w:rPr>
      </w:pPr>
    </w:p>
    <w:p w14:paraId="23CF0946">
      <w:pPr>
        <w:pStyle w:val="31"/>
        <w:keepNext w:val="0"/>
        <w:keepLines w:val="0"/>
        <w:pageBreakBefore w:val="0"/>
        <w:numPr>
          <w:ilvl w:val="2"/>
          <w:numId w:val="29"/>
        </w:numPr>
        <w:kinsoku/>
        <w:wordWrap/>
        <w:overflowPunct/>
        <w:topLinePunct w:val="0"/>
        <w:autoSpaceDE/>
        <w:autoSpaceDN/>
        <w:bidi w:val="0"/>
        <w:adjustRightInd/>
        <w:snapToGrid/>
        <w:spacing w:line="360" w:lineRule="auto"/>
        <w:ind w:left="415" w:leftChars="0" w:hanging="415" w:hangingChars="173"/>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重要节假日免收停车费，如春节（年二十八凌晨至正月初九凌晨）、清明节等节日免收费。</w:t>
      </w:r>
    </w:p>
    <w:p w14:paraId="53AB9878">
      <w:pPr>
        <w:pStyle w:val="31"/>
        <w:keepNext w:val="0"/>
        <w:keepLines w:val="0"/>
        <w:pageBreakBefore w:val="0"/>
        <w:numPr>
          <w:ilvl w:val="2"/>
          <w:numId w:val="29"/>
        </w:numPr>
        <w:kinsoku/>
        <w:wordWrap/>
        <w:overflowPunct/>
        <w:topLinePunct w:val="0"/>
        <w:autoSpaceDE/>
        <w:autoSpaceDN/>
        <w:bidi w:val="0"/>
        <w:adjustRightInd/>
        <w:snapToGrid/>
        <w:spacing w:line="360" w:lineRule="auto"/>
        <w:ind w:left="415" w:leftChars="0" w:hanging="415" w:hangingChars="173"/>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村重要传统节日，村民生日、婚庆、弥月、丧事等亲友车辆需要在村内停放的，须在事项进行前向邓岗村队委报备，报备后给予免费，并由车场管理处统一安排在临时停车位内停放。并由乙方提供二维码给办事村民专用，时间由村民所定，一般不超过一个星期，超期后二维码自动作废。</w:t>
      </w:r>
    </w:p>
    <w:p w14:paraId="3664B74C">
      <w:pPr>
        <w:pStyle w:val="31"/>
        <w:keepNext w:val="0"/>
        <w:keepLines w:val="0"/>
        <w:pageBreakBefore w:val="0"/>
        <w:numPr>
          <w:ilvl w:val="2"/>
          <w:numId w:val="29"/>
        </w:numPr>
        <w:kinsoku/>
        <w:wordWrap/>
        <w:overflowPunct/>
        <w:topLinePunct w:val="0"/>
        <w:autoSpaceDE/>
        <w:autoSpaceDN/>
        <w:bidi w:val="0"/>
        <w:adjustRightInd/>
        <w:snapToGrid/>
        <w:spacing w:line="360" w:lineRule="auto"/>
        <w:ind w:left="415" w:leftChars="0" w:hanging="415" w:hangingChars="173"/>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户籍村民或非本村户籍嫁入本村的村民驾驶非本人名下的车辆时，需提供相关证明材料由村队委和乙方核实后，可报备登记视为临时户籍车辆，若登记本村非户籍村民的车辆停放在户籍村民自家车库可免费，但该车辆不得在外面过夜，如每月有发现3次以上，则按月租车辆处理。</w:t>
      </w:r>
    </w:p>
    <w:p w14:paraId="1E1B3071">
      <w:pPr>
        <w:pStyle w:val="31"/>
        <w:keepNext w:val="0"/>
        <w:keepLines w:val="0"/>
        <w:pageBreakBefore w:val="0"/>
        <w:numPr>
          <w:ilvl w:val="2"/>
          <w:numId w:val="29"/>
        </w:numPr>
        <w:kinsoku/>
        <w:wordWrap/>
        <w:overflowPunct/>
        <w:topLinePunct w:val="0"/>
        <w:autoSpaceDE/>
        <w:autoSpaceDN/>
        <w:bidi w:val="0"/>
        <w:adjustRightInd/>
        <w:snapToGrid/>
        <w:spacing w:line="360" w:lineRule="auto"/>
        <w:ind w:left="415" w:leftChars="0" w:hanging="415" w:hangingChars="173"/>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村民建房需要堆放建筑材料，按建房户数（一户）免费提供3至4个车位，如超过5个车位，则当外来车临停收费。</w:t>
      </w:r>
    </w:p>
    <w:p w14:paraId="62DF3C8A">
      <w:pPr>
        <w:pStyle w:val="31"/>
        <w:keepNext w:val="0"/>
        <w:keepLines w:val="0"/>
        <w:pageBreakBefore w:val="0"/>
        <w:numPr>
          <w:ilvl w:val="2"/>
          <w:numId w:val="29"/>
        </w:numPr>
        <w:kinsoku/>
        <w:wordWrap/>
        <w:overflowPunct/>
        <w:topLinePunct w:val="0"/>
        <w:autoSpaceDE/>
        <w:autoSpaceDN/>
        <w:bidi w:val="0"/>
        <w:adjustRightInd/>
        <w:snapToGrid/>
        <w:spacing w:line="360" w:lineRule="auto"/>
        <w:ind w:left="415" w:leftChars="0" w:hanging="415" w:hangingChars="173"/>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医院、银行、幼儿园、学校（校巴全天免费停放）吉利村委会和吉利市政等车辆0点—24点全天免费，政府工作人员来村里面办事，乙方提供一个二维码在村委会前台，让办事工作人员扫码后免费通行，村委会工作人员全天免费停车。</w:t>
      </w:r>
    </w:p>
    <w:p w14:paraId="36EBAF66">
      <w:pPr>
        <w:pStyle w:val="31"/>
        <w:numPr>
          <w:ilvl w:val="-1"/>
          <w:numId w:val="0"/>
        </w:numPr>
        <w:spacing w:line="360" w:lineRule="auto"/>
        <w:ind w:left="-363" w:leftChars="-173" w:firstLine="0" w:firstLineChars="0"/>
        <w:rPr>
          <w:rFonts w:hint="eastAsia" w:ascii="宋体" w:hAnsi="宋体" w:eastAsia="宋体" w:cs="宋体"/>
          <w:color w:val="auto"/>
          <w:sz w:val="24"/>
          <w:szCs w:val="24"/>
          <w:highlight w:val="none"/>
          <w:lang w:val="en-US" w:eastAsia="zh-CN"/>
        </w:rPr>
      </w:pPr>
    </w:p>
    <w:p w14:paraId="65E9AC63">
      <w:pPr>
        <w:pStyle w:val="31"/>
        <w:numPr>
          <w:ilvl w:val="1"/>
          <w:numId w:val="29"/>
        </w:numPr>
        <w:spacing w:line="360" w:lineRule="auto"/>
        <w:ind w:left="417" w:leftChars="0" w:hanging="417" w:hangingChars="173"/>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停车管理要求</w:t>
      </w:r>
    </w:p>
    <w:p w14:paraId="5FC3D2B0">
      <w:pPr>
        <w:pStyle w:val="31"/>
        <w:keepNext w:val="0"/>
        <w:keepLines w:val="0"/>
        <w:pageBreakBefore w:val="0"/>
        <w:widowControl w:val="0"/>
        <w:numPr>
          <w:ilvl w:val="2"/>
          <w:numId w:val="29"/>
        </w:numPr>
        <w:kinsoku/>
        <w:wordWrap/>
        <w:overflowPunct/>
        <w:topLinePunct w:val="0"/>
        <w:autoSpaceDE/>
        <w:autoSpaceDN/>
        <w:bidi w:val="0"/>
        <w:adjustRightInd/>
        <w:snapToGrid/>
        <w:spacing w:line="360" w:lineRule="auto"/>
        <w:ind w:left="415" w:leftChars="0" w:hanging="415" w:hangingChars="173"/>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严禁装有易燃易爆等危险、化学物品的车辆进村及停放。</w:t>
      </w:r>
    </w:p>
    <w:p w14:paraId="265903EC">
      <w:pPr>
        <w:pStyle w:val="31"/>
        <w:keepNext w:val="0"/>
        <w:keepLines w:val="0"/>
        <w:pageBreakBefore w:val="0"/>
        <w:widowControl w:val="0"/>
        <w:numPr>
          <w:ilvl w:val="2"/>
          <w:numId w:val="29"/>
        </w:numPr>
        <w:kinsoku/>
        <w:wordWrap/>
        <w:overflowPunct/>
        <w:topLinePunct w:val="0"/>
        <w:autoSpaceDE/>
        <w:autoSpaceDN/>
        <w:bidi w:val="0"/>
        <w:adjustRightInd/>
        <w:snapToGrid/>
        <w:spacing w:line="360" w:lineRule="auto"/>
        <w:ind w:left="415" w:leftChars="0" w:hanging="415" w:hangingChars="173"/>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乙方必须登记好本村的车辆号牌，电话号码，停放地点，车位使用人，住址等，月租车也必须登记其号牌，电话号码等，而且必须停在按规定划好的车位上，月租车和临时车按划好的车位有序停放。乙方必须与停车位使用人签订车位承诺责任书，对停车实行规范化管理。巡逻人员24小时巡逻车场并确保各停车位正常使用，督促所有车辆正确使用行车线和停车位，维持停车秩序，保证各车道、车场出入周围道路畅通。文明管理车场，不得以任何理由或形式向车主或司机索取任何利益或报酬。文明礼貌，用语规范，文明服务。在经营管理中如发生纠纷，由乙方自行处理。</w:t>
      </w:r>
    </w:p>
    <w:p w14:paraId="229081E6">
      <w:pPr>
        <w:pStyle w:val="31"/>
        <w:keepNext w:val="0"/>
        <w:keepLines w:val="0"/>
        <w:pageBreakBefore w:val="0"/>
        <w:widowControl w:val="0"/>
        <w:numPr>
          <w:ilvl w:val="2"/>
          <w:numId w:val="29"/>
        </w:numPr>
        <w:kinsoku/>
        <w:wordWrap/>
        <w:overflowPunct/>
        <w:topLinePunct w:val="0"/>
        <w:autoSpaceDE/>
        <w:autoSpaceDN/>
        <w:bidi w:val="0"/>
        <w:adjustRightInd/>
        <w:snapToGrid/>
        <w:spacing w:line="360" w:lineRule="auto"/>
        <w:ind w:left="415" w:leftChars="0" w:hanging="415" w:hangingChars="173"/>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乙方进行车辆停放管理工作，乙方为保证村容村貌和交通顺畅，对于个别车辆不遵守“村内停放规定”同时不服从工作人员协调，屡教不改乱停乱放的车辆，由乙方拉入黑名单处理（写保证书确保以后不发生同类情况的可以放行，超过3次不允许进入本村区内停车），如有必要村委治安队可协助乙方处理。</w:t>
      </w:r>
    </w:p>
    <w:p w14:paraId="0E5AA056">
      <w:pPr>
        <w:pStyle w:val="31"/>
        <w:keepNext w:val="0"/>
        <w:keepLines w:val="0"/>
        <w:pageBreakBefore w:val="0"/>
        <w:widowControl w:val="0"/>
        <w:numPr>
          <w:ilvl w:val="2"/>
          <w:numId w:val="29"/>
        </w:numPr>
        <w:kinsoku/>
        <w:wordWrap/>
        <w:overflowPunct/>
        <w:topLinePunct w:val="0"/>
        <w:autoSpaceDE/>
        <w:autoSpaceDN/>
        <w:bidi w:val="0"/>
        <w:adjustRightInd/>
        <w:snapToGrid/>
        <w:spacing w:line="360" w:lineRule="auto"/>
        <w:ind w:left="415" w:leftChars="0" w:hanging="415" w:hangingChars="173"/>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所有停放在消防通道的车辆进行拉入黑名单处理（写保证书确保以后不发生同类情况的可以放行，超过3次不允许进入本村内停车）。</w:t>
      </w:r>
    </w:p>
    <w:p w14:paraId="1287D697">
      <w:pPr>
        <w:pStyle w:val="31"/>
        <w:keepNext w:val="0"/>
        <w:keepLines w:val="0"/>
        <w:pageBreakBefore w:val="0"/>
        <w:widowControl w:val="0"/>
        <w:numPr>
          <w:ilvl w:val="2"/>
          <w:numId w:val="29"/>
        </w:numPr>
        <w:kinsoku/>
        <w:wordWrap/>
        <w:overflowPunct/>
        <w:topLinePunct w:val="0"/>
        <w:autoSpaceDE/>
        <w:autoSpaceDN/>
        <w:bidi w:val="0"/>
        <w:adjustRightInd/>
        <w:snapToGrid/>
        <w:spacing w:line="360" w:lineRule="auto"/>
        <w:ind w:left="415" w:leftChars="0" w:hanging="415" w:hangingChars="173"/>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占用车位、消防通道、行车行人通道的乱摆卖问题处理方法：派放和张贴宣传单张进行不间断推广，不准占用位置乱摆卖，发现有此情况的，进行发放警告通知单，限定时间撤离现场。警告通知后拒绝撤离现场的，拉入黑名单或乙方通知执法相关部门协调进行处理。</w:t>
      </w:r>
    </w:p>
    <w:p w14:paraId="767EE61D">
      <w:pPr>
        <w:pStyle w:val="31"/>
        <w:keepNext w:val="0"/>
        <w:keepLines w:val="0"/>
        <w:pageBreakBefore w:val="0"/>
        <w:widowControl w:val="0"/>
        <w:numPr>
          <w:ilvl w:val="2"/>
          <w:numId w:val="29"/>
        </w:numPr>
        <w:kinsoku/>
        <w:wordWrap/>
        <w:overflowPunct/>
        <w:topLinePunct w:val="0"/>
        <w:autoSpaceDE/>
        <w:autoSpaceDN/>
        <w:bidi w:val="0"/>
        <w:adjustRightInd/>
        <w:snapToGrid/>
        <w:spacing w:line="360" w:lineRule="auto"/>
        <w:ind w:left="415" w:leftChars="0" w:hanging="415" w:hangingChars="173"/>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规范停车常见的手段有：积分制度，优惠取消，黑名单制度。</w:t>
      </w:r>
    </w:p>
    <w:p w14:paraId="229140B4">
      <w:pPr>
        <w:pStyle w:val="31"/>
        <w:keepNext w:val="0"/>
        <w:keepLines w:val="0"/>
        <w:pageBreakBefore w:val="0"/>
        <w:widowControl w:val="0"/>
        <w:numPr>
          <w:ilvl w:val="2"/>
          <w:numId w:val="29"/>
        </w:numPr>
        <w:kinsoku/>
        <w:wordWrap/>
        <w:overflowPunct/>
        <w:topLinePunct w:val="0"/>
        <w:autoSpaceDE/>
        <w:autoSpaceDN/>
        <w:bidi w:val="0"/>
        <w:adjustRightInd/>
        <w:snapToGrid/>
        <w:spacing w:line="360" w:lineRule="auto"/>
        <w:ind w:left="415" w:leftChars="0" w:hanging="415" w:hangingChars="173"/>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系统需具备有智能巡检App，每次村内违停，巡检人员可以拍照上传到系统，</w:t>
      </w:r>
      <w:r>
        <w:rPr>
          <w:rFonts w:hint="eastAsia" w:ascii="宋体" w:hAnsi="宋体" w:cs="宋体"/>
          <w:color w:val="auto"/>
          <w:sz w:val="24"/>
          <w:szCs w:val="24"/>
          <w:highlight w:val="none"/>
          <w:lang w:val="en-US" w:eastAsia="zh-CN"/>
        </w:rPr>
        <w:t>前三次</w:t>
      </w:r>
      <w:r>
        <w:rPr>
          <w:rFonts w:hint="eastAsia" w:ascii="宋体" w:hAnsi="宋体" w:eastAsia="宋体" w:cs="宋体"/>
          <w:color w:val="auto"/>
          <w:sz w:val="24"/>
          <w:szCs w:val="24"/>
          <w:highlight w:val="none"/>
          <w:lang w:val="en-US" w:eastAsia="zh-CN"/>
        </w:rPr>
        <w:t>可以告知和劝解，如果3次以上违规停车，取消车主对应的停车优惠。乙方在设置停车收费规则时，可以公示优惠后的价格，一旦违规按照原价收费。多次劝告无效的可以拉入黑名单，限制出入时间，优惠月票的购买等。</w:t>
      </w:r>
    </w:p>
    <w:p w14:paraId="141E2978">
      <w:pPr>
        <w:pStyle w:val="31"/>
        <w:numPr>
          <w:ilvl w:val="0"/>
          <w:numId w:val="0"/>
        </w:numPr>
        <w:spacing w:line="360" w:lineRule="auto"/>
        <w:ind w:leftChars="-173"/>
        <w:rPr>
          <w:rFonts w:hint="eastAsia" w:ascii="宋体" w:hAnsi="宋体" w:eastAsia="宋体" w:cs="宋体"/>
          <w:color w:val="auto"/>
          <w:sz w:val="24"/>
          <w:szCs w:val="24"/>
          <w:highlight w:val="none"/>
          <w:lang w:val="en-US" w:eastAsia="zh-CN"/>
        </w:rPr>
      </w:pPr>
    </w:p>
    <w:p w14:paraId="09A858CD">
      <w:pPr>
        <w:pStyle w:val="31"/>
        <w:numPr>
          <w:ilvl w:val="0"/>
          <w:numId w:val="29"/>
        </w:numPr>
        <w:spacing w:line="360" w:lineRule="auto"/>
        <w:ind w:left="417" w:leftChars="0" w:hanging="417" w:hangingChars="173"/>
        <w:rPr>
          <w:rFonts w:hint="eastAsia" w:ascii="宋体" w:hAnsi="宋体" w:eastAsia="宋体" w:cs="宋体"/>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停车应急预案</w:t>
      </w:r>
    </w:p>
    <w:p w14:paraId="45555716">
      <w:pPr>
        <w:pStyle w:val="31"/>
        <w:keepNext w:val="0"/>
        <w:keepLines w:val="0"/>
        <w:pageBreakBefore w:val="0"/>
        <w:widowControl w:val="0"/>
        <w:numPr>
          <w:ilvl w:val="1"/>
          <w:numId w:val="29"/>
        </w:numPr>
        <w:kinsoku/>
        <w:wordWrap/>
        <w:overflowPunct/>
        <w:topLinePunct w:val="0"/>
        <w:autoSpaceDE/>
        <w:autoSpaceDN/>
        <w:bidi w:val="0"/>
        <w:adjustRightInd/>
        <w:snapToGrid/>
        <w:spacing w:line="360" w:lineRule="auto"/>
        <w:ind w:left="415" w:leftChars="0" w:hanging="415" w:hangingChars="173"/>
        <w:textAlignment w:val="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防疫或救援等情况发生时，应提前远程开闸放行。警车，消防车等车辆默认设置自动放行。如遇其他特殊情况，应人为远程放行。</w:t>
      </w:r>
    </w:p>
    <w:p w14:paraId="0A7C870A">
      <w:pPr>
        <w:pStyle w:val="31"/>
        <w:keepNext w:val="0"/>
        <w:keepLines w:val="0"/>
        <w:pageBreakBefore w:val="0"/>
        <w:widowControl w:val="0"/>
        <w:numPr>
          <w:ilvl w:val="1"/>
          <w:numId w:val="29"/>
        </w:numPr>
        <w:kinsoku/>
        <w:wordWrap/>
        <w:overflowPunct/>
        <w:topLinePunct w:val="0"/>
        <w:autoSpaceDE/>
        <w:autoSpaceDN/>
        <w:bidi w:val="0"/>
        <w:adjustRightInd/>
        <w:snapToGrid/>
        <w:spacing w:line="360" w:lineRule="auto"/>
        <w:ind w:left="415" w:leftChars="0" w:hanging="415" w:hangingChars="173"/>
        <w:textAlignment w:val="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停车系统应接入消防联动信号，一旦有消防信号，所有停车闸杆自动抬杆。</w:t>
      </w:r>
    </w:p>
    <w:p w14:paraId="5164DD63">
      <w:pPr>
        <w:pStyle w:val="31"/>
        <w:keepNext w:val="0"/>
        <w:keepLines w:val="0"/>
        <w:pageBreakBefore w:val="0"/>
        <w:widowControl w:val="0"/>
        <w:numPr>
          <w:ilvl w:val="1"/>
          <w:numId w:val="29"/>
        </w:numPr>
        <w:kinsoku/>
        <w:wordWrap/>
        <w:overflowPunct/>
        <w:topLinePunct w:val="0"/>
        <w:autoSpaceDE/>
        <w:autoSpaceDN/>
        <w:bidi w:val="0"/>
        <w:adjustRightInd/>
        <w:snapToGrid/>
        <w:spacing w:line="360" w:lineRule="auto"/>
        <w:ind w:left="415" w:leftChars="0" w:hanging="415" w:hangingChars="173"/>
        <w:textAlignment w:val="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水灾、爆炸等异常情况发生时，应通过24小时远程监控中心通知就近巡检人员前往进行人工处理，保证道路畅行。</w:t>
      </w:r>
    </w:p>
    <w:p w14:paraId="0591CA07">
      <w:pPr>
        <w:pStyle w:val="31"/>
        <w:numPr>
          <w:ilvl w:val="0"/>
          <w:numId w:val="0"/>
        </w:numPr>
        <w:spacing w:line="360" w:lineRule="auto"/>
        <w:ind w:leftChars="-173"/>
        <w:rPr>
          <w:rFonts w:hint="eastAsia" w:ascii="宋体" w:hAnsi="宋体" w:eastAsia="宋体" w:cs="宋体"/>
          <w:b/>
          <w:bCs/>
          <w:color w:val="auto"/>
          <w:sz w:val="24"/>
          <w:szCs w:val="24"/>
          <w:highlight w:val="none"/>
          <w:lang w:val="en-US" w:eastAsia="zh-CN"/>
        </w:rPr>
      </w:pPr>
    </w:p>
    <w:p w14:paraId="149D1263">
      <w:pPr>
        <w:pStyle w:val="31"/>
        <w:numPr>
          <w:ilvl w:val="0"/>
          <w:numId w:val="29"/>
        </w:numPr>
        <w:spacing w:line="360" w:lineRule="auto"/>
        <w:ind w:left="417" w:leftChars="0" w:hanging="417" w:hangingChars="173"/>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考核标准和办法</w:t>
      </w:r>
    </w:p>
    <w:tbl>
      <w:tblPr>
        <w:tblStyle w:val="20"/>
        <w:tblW w:w="938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 w:type="dxa"/>
          <w:bottom w:w="0" w:type="dxa"/>
          <w:right w:w="10" w:type="dxa"/>
        </w:tblCellMar>
      </w:tblPr>
      <w:tblGrid>
        <w:gridCol w:w="643"/>
        <w:gridCol w:w="1373"/>
        <w:gridCol w:w="3346"/>
        <w:gridCol w:w="2813"/>
        <w:gridCol w:w="1214"/>
      </w:tblGrid>
      <w:tr w14:paraId="5FE3A3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 w:type="dxa"/>
            <w:bottom w:w="0" w:type="dxa"/>
            <w:right w:w="10" w:type="dxa"/>
          </w:tblCellMar>
        </w:tblPrEx>
        <w:trPr>
          <w:trHeight w:val="562" w:hRule="exact"/>
        </w:trPr>
        <w:tc>
          <w:tcPr>
            <w:tcW w:w="2016" w:type="dxa"/>
            <w:gridSpan w:val="2"/>
            <w:shd w:val="clear" w:color="auto" w:fill="auto"/>
            <w:vAlign w:val="center"/>
          </w:tcPr>
          <w:p w14:paraId="496C6713">
            <w:pPr>
              <w:pStyle w:val="52"/>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4"/>
                <w:szCs w:val="24"/>
                <w:highlight w:val="none"/>
              </w:rPr>
            </w:pPr>
            <w:r>
              <w:rPr>
                <w:rFonts w:hint="eastAsia" w:ascii="宋体" w:hAnsi="宋体" w:eastAsia="宋体" w:cs="宋体"/>
                <w:color w:val="000000"/>
                <w:spacing w:val="0"/>
                <w:w w:val="100"/>
                <w:position w:val="0"/>
                <w:sz w:val="24"/>
                <w:szCs w:val="24"/>
                <w:highlight w:val="none"/>
                <w:lang w:val="en-US" w:eastAsia="zh-CN"/>
              </w:rPr>
              <w:t>考核</w:t>
            </w:r>
            <w:r>
              <w:rPr>
                <w:rFonts w:hint="eastAsia" w:ascii="宋体" w:hAnsi="宋体" w:eastAsia="宋体" w:cs="宋体"/>
                <w:color w:val="000000"/>
                <w:spacing w:val="0"/>
                <w:w w:val="100"/>
                <w:position w:val="0"/>
                <w:sz w:val="24"/>
                <w:szCs w:val="24"/>
                <w:highlight w:val="none"/>
              </w:rPr>
              <w:t>项目</w:t>
            </w:r>
          </w:p>
        </w:tc>
        <w:tc>
          <w:tcPr>
            <w:tcW w:w="3346" w:type="dxa"/>
            <w:shd w:val="clear" w:color="auto" w:fill="auto"/>
            <w:vAlign w:val="center"/>
          </w:tcPr>
          <w:p w14:paraId="796CD512">
            <w:pPr>
              <w:pStyle w:val="52"/>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4"/>
                <w:szCs w:val="24"/>
                <w:highlight w:val="none"/>
              </w:rPr>
            </w:pPr>
            <w:r>
              <w:rPr>
                <w:rFonts w:hint="eastAsia" w:ascii="宋体" w:hAnsi="宋体" w:eastAsia="宋体" w:cs="宋体"/>
                <w:color w:val="000000"/>
                <w:spacing w:val="0"/>
                <w:w w:val="100"/>
                <w:position w:val="0"/>
                <w:sz w:val="24"/>
                <w:szCs w:val="24"/>
                <w:highlight w:val="none"/>
              </w:rPr>
              <w:t>考核标准</w:t>
            </w:r>
          </w:p>
        </w:tc>
        <w:tc>
          <w:tcPr>
            <w:tcW w:w="2813" w:type="dxa"/>
            <w:shd w:val="clear" w:color="auto" w:fill="auto"/>
            <w:vAlign w:val="center"/>
          </w:tcPr>
          <w:p w14:paraId="65FE2026">
            <w:pPr>
              <w:pStyle w:val="52"/>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4"/>
                <w:szCs w:val="24"/>
                <w:highlight w:val="none"/>
              </w:rPr>
            </w:pPr>
            <w:r>
              <w:rPr>
                <w:rFonts w:hint="eastAsia" w:ascii="宋体" w:hAnsi="宋体" w:eastAsia="宋体" w:cs="宋体"/>
                <w:color w:val="000000"/>
                <w:spacing w:val="0"/>
                <w:w w:val="100"/>
                <w:position w:val="0"/>
                <w:sz w:val="24"/>
                <w:szCs w:val="24"/>
                <w:highlight w:val="none"/>
              </w:rPr>
              <w:t>考核办法</w:t>
            </w:r>
          </w:p>
        </w:tc>
        <w:tc>
          <w:tcPr>
            <w:tcW w:w="1214" w:type="dxa"/>
            <w:shd w:val="clear" w:color="auto" w:fill="auto"/>
            <w:vAlign w:val="center"/>
          </w:tcPr>
          <w:p w14:paraId="4655FBE5">
            <w:pPr>
              <w:pStyle w:val="52"/>
              <w:keepNext w:val="0"/>
              <w:keepLines w:val="0"/>
              <w:widowControl w:val="0"/>
              <w:shd w:val="clear" w:color="auto" w:fill="auto"/>
              <w:tabs>
                <w:tab w:val="left" w:pos="1060"/>
              </w:tabs>
              <w:bidi w:val="0"/>
              <w:spacing w:before="0" w:after="0" w:line="240" w:lineRule="auto"/>
              <w:ind w:left="0" w:right="134" w:firstLine="0"/>
              <w:jc w:val="center"/>
              <w:rPr>
                <w:rFonts w:hint="eastAsia" w:ascii="宋体" w:hAnsi="宋体" w:eastAsia="宋体" w:cs="宋体"/>
                <w:sz w:val="24"/>
                <w:szCs w:val="24"/>
                <w:highlight w:val="none"/>
                <w:lang w:eastAsia="zh-CN"/>
              </w:rPr>
            </w:pPr>
            <w:r>
              <w:rPr>
                <w:rFonts w:hint="eastAsia" w:ascii="宋体" w:hAnsi="宋体" w:eastAsia="宋体" w:cs="宋体"/>
                <w:color w:val="000000"/>
                <w:spacing w:val="0"/>
                <w:w w:val="100"/>
                <w:position w:val="0"/>
                <w:sz w:val="24"/>
                <w:szCs w:val="24"/>
                <w:highlight w:val="none"/>
              </w:rPr>
              <w:t>考核</w:t>
            </w:r>
            <w:r>
              <w:rPr>
                <w:rFonts w:hint="eastAsia" w:ascii="宋体" w:hAnsi="宋体" w:eastAsia="宋体" w:cs="宋体"/>
                <w:color w:val="000000"/>
                <w:spacing w:val="0"/>
                <w:w w:val="100"/>
                <w:position w:val="0"/>
                <w:sz w:val="24"/>
                <w:szCs w:val="24"/>
                <w:highlight w:val="none"/>
                <w:lang w:val="en-US" w:eastAsia="zh-CN"/>
              </w:rPr>
              <w:t>人员</w:t>
            </w:r>
          </w:p>
        </w:tc>
      </w:tr>
      <w:tr w14:paraId="23FCAA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 w:type="dxa"/>
            <w:bottom w:w="0" w:type="dxa"/>
            <w:right w:w="10" w:type="dxa"/>
          </w:tblCellMar>
        </w:tblPrEx>
        <w:trPr>
          <w:trHeight w:val="1020" w:hRule="exact"/>
        </w:trPr>
        <w:tc>
          <w:tcPr>
            <w:tcW w:w="643" w:type="dxa"/>
            <w:vMerge w:val="restart"/>
            <w:shd w:val="clear" w:color="auto" w:fill="auto"/>
            <w:vAlign w:val="center"/>
          </w:tcPr>
          <w:p w14:paraId="2DFD423C">
            <w:pPr>
              <w:keepNext w:val="0"/>
              <w:keepLines w:val="0"/>
              <w:pageBreakBefore w:val="0"/>
              <w:widowControl w:val="0"/>
              <w:kinsoku/>
              <w:wordWrap/>
              <w:overflowPunct/>
              <w:topLinePunct w:val="0"/>
              <w:autoSpaceDE/>
              <w:autoSpaceDN/>
              <w:bidi w:val="0"/>
              <w:adjustRightInd/>
              <w:snapToGrid/>
              <w:ind w:left="21" w:leftChars="10" w:right="21" w:rightChars="10" w:firstLine="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基础</w:t>
            </w:r>
          </w:p>
          <w:p w14:paraId="25482E18">
            <w:pPr>
              <w:keepNext w:val="0"/>
              <w:keepLines w:val="0"/>
              <w:pageBreakBefore w:val="0"/>
              <w:widowControl w:val="0"/>
              <w:kinsoku/>
              <w:wordWrap/>
              <w:overflowPunct/>
              <w:topLinePunct w:val="0"/>
              <w:autoSpaceDE/>
              <w:autoSpaceDN/>
              <w:bidi w:val="0"/>
              <w:adjustRightInd/>
              <w:snapToGrid/>
              <w:ind w:left="21" w:leftChars="10" w:right="21" w:rightChars="10" w:firstLine="0"/>
              <w:textAlignment w:val="auto"/>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val="en-US" w:eastAsia="zh-CN"/>
              </w:rPr>
              <w:t>质量</w:t>
            </w:r>
          </w:p>
        </w:tc>
        <w:tc>
          <w:tcPr>
            <w:tcW w:w="1373" w:type="dxa"/>
            <w:vMerge w:val="restart"/>
            <w:shd w:val="clear" w:color="auto" w:fill="auto"/>
            <w:vAlign w:val="center"/>
          </w:tcPr>
          <w:p w14:paraId="11CB3FE9">
            <w:pPr>
              <w:keepNext w:val="0"/>
              <w:keepLines w:val="0"/>
              <w:pageBreakBefore w:val="0"/>
              <w:widowControl w:val="0"/>
              <w:kinsoku/>
              <w:wordWrap/>
              <w:overflowPunct/>
              <w:topLinePunct w:val="0"/>
              <w:autoSpaceDE/>
              <w:autoSpaceDN/>
              <w:bidi w:val="0"/>
              <w:adjustRightInd/>
              <w:snapToGrid/>
              <w:ind w:left="21" w:leftChars="10" w:right="21" w:rightChars="10" w:firstLine="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人员资质</w:t>
            </w:r>
          </w:p>
        </w:tc>
        <w:tc>
          <w:tcPr>
            <w:tcW w:w="3346" w:type="dxa"/>
            <w:shd w:val="clear" w:color="auto" w:fill="auto"/>
            <w:vAlign w:val="center"/>
          </w:tcPr>
          <w:p w14:paraId="68F7A053">
            <w:pPr>
              <w:keepNext w:val="0"/>
              <w:keepLines w:val="0"/>
              <w:pageBreakBefore w:val="0"/>
              <w:widowControl w:val="0"/>
              <w:kinsoku/>
              <w:wordWrap/>
              <w:overflowPunct/>
              <w:topLinePunct w:val="0"/>
              <w:autoSpaceDE/>
              <w:autoSpaceDN/>
              <w:bidi w:val="0"/>
              <w:adjustRightInd/>
              <w:snapToGrid/>
              <w:ind w:left="21" w:leftChars="10" w:right="21" w:rightChars="10" w:firstLine="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从业人员要按时到岗、统一服装，</w:t>
            </w:r>
            <w:r>
              <w:rPr>
                <w:rFonts w:hint="eastAsia" w:ascii="宋体" w:hAnsi="宋体" w:eastAsia="宋体" w:cs="宋体"/>
                <w:sz w:val="24"/>
                <w:szCs w:val="24"/>
                <w:highlight w:val="none"/>
                <w:lang w:val="en-US" w:eastAsia="zh-CN"/>
              </w:rPr>
              <w:t>提供</w:t>
            </w:r>
            <w:r>
              <w:rPr>
                <w:rFonts w:hint="eastAsia" w:ascii="宋体" w:hAnsi="宋体" w:eastAsia="宋体" w:cs="宋体"/>
                <w:sz w:val="24"/>
                <w:szCs w:val="24"/>
                <w:highlight w:val="none"/>
              </w:rPr>
              <w:t>文明礼貌</w:t>
            </w:r>
            <w:r>
              <w:rPr>
                <w:rFonts w:hint="eastAsia" w:ascii="宋体" w:hAnsi="宋体" w:eastAsia="宋体" w:cs="宋体"/>
                <w:sz w:val="24"/>
                <w:szCs w:val="24"/>
                <w:highlight w:val="none"/>
                <w:lang w:val="en-US" w:eastAsia="zh-CN"/>
              </w:rPr>
              <w:t>服务</w:t>
            </w:r>
            <w:r>
              <w:rPr>
                <w:rFonts w:hint="eastAsia" w:ascii="宋体" w:hAnsi="宋体" w:eastAsia="宋体" w:cs="宋体"/>
                <w:sz w:val="24"/>
                <w:szCs w:val="24"/>
                <w:highlight w:val="none"/>
              </w:rPr>
              <w:t>。</w:t>
            </w:r>
          </w:p>
        </w:tc>
        <w:tc>
          <w:tcPr>
            <w:tcW w:w="2813" w:type="dxa"/>
            <w:shd w:val="clear" w:color="auto" w:fill="auto"/>
            <w:vAlign w:val="center"/>
          </w:tcPr>
          <w:p w14:paraId="54CCE801">
            <w:pPr>
              <w:keepNext w:val="0"/>
              <w:keepLines w:val="0"/>
              <w:pageBreakBefore w:val="0"/>
              <w:widowControl w:val="0"/>
              <w:kinsoku/>
              <w:wordWrap/>
              <w:overflowPunct/>
              <w:topLinePunct w:val="0"/>
              <w:autoSpaceDE/>
              <w:autoSpaceDN/>
              <w:bidi w:val="0"/>
              <w:adjustRightInd/>
              <w:snapToGrid/>
              <w:ind w:left="21" w:leftChars="10" w:right="21" w:rightChars="10" w:firstLine="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不符合要求的每项每人每次扣</w:t>
            </w:r>
          </w:p>
          <w:p w14:paraId="71C8ADFC">
            <w:pPr>
              <w:keepNext w:val="0"/>
              <w:keepLines w:val="0"/>
              <w:pageBreakBefore w:val="0"/>
              <w:widowControl w:val="0"/>
              <w:kinsoku/>
              <w:wordWrap/>
              <w:overflowPunct/>
              <w:topLinePunct w:val="0"/>
              <w:autoSpaceDE/>
              <w:autoSpaceDN/>
              <w:bidi w:val="0"/>
              <w:adjustRightInd/>
              <w:snapToGrid/>
              <w:ind w:left="21" w:leftChars="10" w:right="21" w:rightChars="10" w:firstLine="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1</w:t>
            </w:r>
            <w:r>
              <w:rPr>
                <w:rFonts w:hint="eastAsia" w:ascii="宋体" w:hAnsi="宋体" w:eastAsia="宋体" w:cs="宋体"/>
                <w:sz w:val="24"/>
                <w:szCs w:val="24"/>
                <w:highlight w:val="none"/>
              </w:rPr>
              <w:t>分。</w:t>
            </w:r>
          </w:p>
        </w:tc>
        <w:tc>
          <w:tcPr>
            <w:tcW w:w="1214" w:type="dxa"/>
            <w:vMerge w:val="restart"/>
            <w:shd w:val="clear" w:color="auto" w:fill="auto"/>
            <w:vAlign w:val="center"/>
          </w:tcPr>
          <w:p w14:paraId="4260A5D6">
            <w:pPr>
              <w:keepNext w:val="0"/>
              <w:keepLines w:val="0"/>
              <w:pageBreakBefore w:val="0"/>
              <w:widowControl w:val="0"/>
              <w:kinsoku/>
              <w:wordWrap/>
              <w:overflowPunct/>
              <w:topLinePunct w:val="0"/>
              <w:autoSpaceDE/>
              <w:autoSpaceDN/>
              <w:bidi w:val="0"/>
              <w:adjustRightInd/>
              <w:snapToGrid/>
              <w:ind w:left="21" w:leftChars="10" w:right="21" w:rightChars="10" w:firstLine="0"/>
              <w:textAlignment w:val="auto"/>
              <w:rPr>
                <w:rFonts w:hint="eastAsia" w:ascii="宋体" w:hAnsi="宋体" w:eastAsia="宋体" w:cs="宋体"/>
                <w:sz w:val="24"/>
                <w:szCs w:val="24"/>
                <w:highlight w:val="none"/>
                <w:lang w:val="en-US" w:eastAsia="zh-CN"/>
              </w:rPr>
            </w:pPr>
            <w:r>
              <w:rPr>
                <w:rFonts w:hint="eastAsia" w:ascii="宋体" w:hAnsi="宋体" w:cs="宋体"/>
                <w:sz w:val="24"/>
                <w:szCs w:val="24"/>
                <w:highlight w:val="none"/>
                <w:lang w:val="en-US" w:eastAsia="zh-CN"/>
              </w:rPr>
              <w:t>甲方</w:t>
            </w:r>
            <w:r>
              <w:rPr>
                <w:rFonts w:hint="eastAsia" w:ascii="宋体" w:hAnsi="宋体" w:eastAsia="宋体" w:cs="宋体"/>
                <w:sz w:val="24"/>
                <w:szCs w:val="24"/>
                <w:highlight w:val="none"/>
                <w:lang w:val="en-US" w:eastAsia="zh-CN"/>
              </w:rPr>
              <w:t>村两委干部及相关工作人员</w:t>
            </w:r>
          </w:p>
        </w:tc>
      </w:tr>
      <w:tr w14:paraId="4EC5B9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 w:type="dxa"/>
            <w:bottom w:w="0" w:type="dxa"/>
            <w:right w:w="10" w:type="dxa"/>
          </w:tblCellMar>
        </w:tblPrEx>
        <w:trPr>
          <w:trHeight w:val="1219" w:hRule="exact"/>
        </w:trPr>
        <w:tc>
          <w:tcPr>
            <w:tcW w:w="643" w:type="dxa"/>
            <w:vMerge w:val="continue"/>
            <w:shd w:val="clear" w:color="auto" w:fill="auto"/>
            <w:vAlign w:val="center"/>
          </w:tcPr>
          <w:p w14:paraId="020DF0CE">
            <w:pPr>
              <w:keepNext w:val="0"/>
              <w:keepLines w:val="0"/>
              <w:pageBreakBefore w:val="0"/>
              <w:widowControl w:val="0"/>
              <w:kinsoku/>
              <w:wordWrap/>
              <w:overflowPunct/>
              <w:topLinePunct w:val="0"/>
              <w:autoSpaceDE/>
              <w:autoSpaceDN/>
              <w:bidi w:val="0"/>
              <w:adjustRightInd/>
              <w:snapToGrid/>
              <w:ind w:left="21" w:leftChars="10" w:right="21" w:rightChars="10" w:firstLine="0"/>
              <w:textAlignment w:val="auto"/>
              <w:rPr>
                <w:rFonts w:hint="eastAsia" w:ascii="宋体" w:hAnsi="宋体" w:eastAsia="宋体" w:cs="宋体"/>
                <w:sz w:val="24"/>
                <w:szCs w:val="24"/>
                <w:highlight w:val="none"/>
              </w:rPr>
            </w:pPr>
          </w:p>
        </w:tc>
        <w:tc>
          <w:tcPr>
            <w:tcW w:w="1373" w:type="dxa"/>
            <w:vMerge w:val="continue"/>
            <w:shd w:val="clear" w:color="auto" w:fill="auto"/>
            <w:vAlign w:val="center"/>
          </w:tcPr>
          <w:p w14:paraId="663690CF">
            <w:pPr>
              <w:keepNext w:val="0"/>
              <w:keepLines w:val="0"/>
              <w:pageBreakBefore w:val="0"/>
              <w:widowControl w:val="0"/>
              <w:kinsoku/>
              <w:wordWrap/>
              <w:overflowPunct/>
              <w:topLinePunct w:val="0"/>
              <w:autoSpaceDE/>
              <w:autoSpaceDN/>
              <w:bidi w:val="0"/>
              <w:adjustRightInd/>
              <w:snapToGrid/>
              <w:ind w:left="21" w:leftChars="10" w:right="21" w:rightChars="10" w:firstLine="0"/>
              <w:textAlignment w:val="auto"/>
              <w:rPr>
                <w:rFonts w:hint="eastAsia" w:ascii="宋体" w:hAnsi="宋体" w:eastAsia="宋体" w:cs="宋体"/>
                <w:sz w:val="24"/>
                <w:szCs w:val="24"/>
                <w:highlight w:val="none"/>
              </w:rPr>
            </w:pPr>
          </w:p>
        </w:tc>
        <w:tc>
          <w:tcPr>
            <w:tcW w:w="3346" w:type="dxa"/>
            <w:shd w:val="clear" w:color="auto" w:fill="auto"/>
            <w:vAlign w:val="center"/>
          </w:tcPr>
          <w:p w14:paraId="4C6AE281">
            <w:pPr>
              <w:keepNext w:val="0"/>
              <w:keepLines w:val="0"/>
              <w:pageBreakBefore w:val="0"/>
              <w:widowControl w:val="0"/>
              <w:kinsoku/>
              <w:wordWrap/>
              <w:overflowPunct/>
              <w:topLinePunct w:val="0"/>
              <w:autoSpaceDE/>
              <w:autoSpaceDN/>
              <w:bidi w:val="0"/>
              <w:adjustRightInd/>
              <w:snapToGrid/>
              <w:ind w:left="21" w:leftChars="10" w:right="21" w:rightChars="10" w:firstLine="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从业人员熟练</w:t>
            </w:r>
            <w:r>
              <w:rPr>
                <w:rFonts w:hint="eastAsia" w:ascii="宋体" w:hAnsi="宋体" w:eastAsia="宋体" w:cs="宋体"/>
                <w:sz w:val="24"/>
                <w:szCs w:val="24"/>
                <w:highlight w:val="none"/>
                <w:lang w:val="en-US" w:eastAsia="zh-CN"/>
              </w:rPr>
              <w:t>掌握业务</w:t>
            </w:r>
            <w:r>
              <w:rPr>
                <w:rFonts w:hint="eastAsia" w:ascii="宋体" w:hAnsi="宋体" w:eastAsia="宋体" w:cs="宋体"/>
                <w:sz w:val="24"/>
                <w:szCs w:val="24"/>
                <w:highlight w:val="none"/>
              </w:rPr>
              <w:t>，</w:t>
            </w:r>
            <w:r>
              <w:rPr>
                <w:rFonts w:hint="eastAsia" w:ascii="宋体" w:hAnsi="宋体" w:eastAsia="宋体" w:cs="宋体"/>
                <w:sz w:val="24"/>
                <w:szCs w:val="24"/>
                <w:highlight w:val="none"/>
                <w:lang w:val="en-US" w:eastAsia="zh-CN"/>
              </w:rPr>
              <w:t>如村民群众对停车管理有疑问，</w:t>
            </w:r>
            <w:r>
              <w:rPr>
                <w:rFonts w:hint="eastAsia" w:ascii="宋体" w:hAnsi="宋体" w:eastAsia="宋体" w:cs="宋体"/>
                <w:sz w:val="24"/>
                <w:szCs w:val="24"/>
                <w:highlight w:val="none"/>
              </w:rPr>
              <w:t>能够耐心细致解答</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lang w:val="en-US" w:eastAsia="zh-CN"/>
              </w:rPr>
              <w:t>避免产生矛盾</w:t>
            </w:r>
            <w:r>
              <w:rPr>
                <w:rFonts w:hint="eastAsia" w:ascii="宋体" w:hAnsi="宋体" w:eastAsia="宋体" w:cs="宋体"/>
                <w:sz w:val="24"/>
                <w:szCs w:val="24"/>
                <w:highlight w:val="none"/>
              </w:rPr>
              <w:t>。</w:t>
            </w:r>
          </w:p>
        </w:tc>
        <w:tc>
          <w:tcPr>
            <w:tcW w:w="2813" w:type="dxa"/>
            <w:shd w:val="clear" w:color="auto" w:fill="auto"/>
            <w:vAlign w:val="center"/>
          </w:tcPr>
          <w:p w14:paraId="5B3A77FE">
            <w:pPr>
              <w:keepNext w:val="0"/>
              <w:keepLines w:val="0"/>
              <w:pageBreakBefore w:val="0"/>
              <w:widowControl w:val="0"/>
              <w:kinsoku/>
              <w:wordWrap/>
              <w:overflowPunct/>
              <w:topLinePunct w:val="0"/>
              <w:autoSpaceDE/>
              <w:autoSpaceDN/>
              <w:bidi w:val="0"/>
              <w:adjustRightInd/>
              <w:snapToGrid/>
              <w:ind w:left="21" w:leftChars="10" w:right="21" w:rightChars="10" w:firstLine="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不符合要求的每人每次扣1分。</w:t>
            </w:r>
          </w:p>
          <w:p w14:paraId="4A99FE5A">
            <w:pPr>
              <w:keepNext w:val="0"/>
              <w:keepLines w:val="0"/>
              <w:pageBreakBefore w:val="0"/>
              <w:widowControl w:val="0"/>
              <w:kinsoku/>
              <w:wordWrap/>
              <w:overflowPunct/>
              <w:topLinePunct w:val="0"/>
              <w:autoSpaceDE/>
              <w:autoSpaceDN/>
              <w:bidi w:val="0"/>
              <w:adjustRightInd/>
              <w:snapToGrid/>
              <w:ind w:left="21" w:leftChars="10" w:right="21" w:rightChars="10" w:firstLine="0"/>
              <w:textAlignment w:val="auto"/>
              <w:rPr>
                <w:rFonts w:hint="eastAsia" w:ascii="宋体" w:hAnsi="宋体" w:eastAsia="宋体" w:cs="宋体"/>
                <w:sz w:val="24"/>
                <w:szCs w:val="24"/>
                <w:highlight w:val="none"/>
              </w:rPr>
            </w:pPr>
          </w:p>
        </w:tc>
        <w:tc>
          <w:tcPr>
            <w:tcW w:w="1214" w:type="dxa"/>
            <w:vMerge w:val="continue"/>
            <w:shd w:val="clear" w:color="auto" w:fill="auto"/>
            <w:vAlign w:val="center"/>
          </w:tcPr>
          <w:p w14:paraId="2116AD7B">
            <w:pPr>
              <w:keepNext w:val="0"/>
              <w:keepLines w:val="0"/>
              <w:pageBreakBefore w:val="0"/>
              <w:widowControl w:val="0"/>
              <w:kinsoku/>
              <w:wordWrap/>
              <w:overflowPunct/>
              <w:topLinePunct w:val="0"/>
              <w:autoSpaceDE/>
              <w:autoSpaceDN/>
              <w:bidi w:val="0"/>
              <w:adjustRightInd/>
              <w:snapToGrid/>
              <w:ind w:left="21" w:leftChars="10" w:right="21" w:rightChars="10" w:firstLine="0"/>
              <w:textAlignment w:val="auto"/>
              <w:rPr>
                <w:rFonts w:hint="eastAsia" w:ascii="宋体" w:hAnsi="宋体" w:eastAsia="宋体" w:cs="宋体"/>
                <w:sz w:val="24"/>
                <w:szCs w:val="24"/>
                <w:highlight w:val="none"/>
              </w:rPr>
            </w:pPr>
          </w:p>
        </w:tc>
      </w:tr>
      <w:tr w14:paraId="16B066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 w:type="dxa"/>
            <w:bottom w:w="0" w:type="dxa"/>
            <w:right w:w="10" w:type="dxa"/>
          </w:tblCellMar>
        </w:tblPrEx>
        <w:trPr>
          <w:trHeight w:val="643" w:hRule="exact"/>
        </w:trPr>
        <w:tc>
          <w:tcPr>
            <w:tcW w:w="643" w:type="dxa"/>
            <w:vMerge w:val="continue"/>
            <w:shd w:val="clear" w:color="auto" w:fill="auto"/>
            <w:vAlign w:val="center"/>
          </w:tcPr>
          <w:p w14:paraId="1602C1C9">
            <w:pPr>
              <w:keepNext w:val="0"/>
              <w:keepLines w:val="0"/>
              <w:pageBreakBefore w:val="0"/>
              <w:widowControl w:val="0"/>
              <w:kinsoku/>
              <w:wordWrap/>
              <w:overflowPunct/>
              <w:topLinePunct w:val="0"/>
              <w:autoSpaceDE/>
              <w:autoSpaceDN/>
              <w:bidi w:val="0"/>
              <w:adjustRightInd/>
              <w:snapToGrid/>
              <w:ind w:left="21" w:leftChars="10" w:right="21" w:rightChars="10" w:firstLine="0"/>
              <w:textAlignment w:val="auto"/>
              <w:rPr>
                <w:rFonts w:hint="eastAsia" w:ascii="宋体" w:hAnsi="宋体" w:eastAsia="宋体" w:cs="宋体"/>
                <w:sz w:val="24"/>
                <w:szCs w:val="24"/>
                <w:highlight w:val="none"/>
              </w:rPr>
            </w:pPr>
          </w:p>
        </w:tc>
        <w:tc>
          <w:tcPr>
            <w:tcW w:w="1373" w:type="dxa"/>
            <w:vMerge w:val="restart"/>
            <w:shd w:val="clear" w:color="auto" w:fill="auto"/>
            <w:vAlign w:val="center"/>
          </w:tcPr>
          <w:p w14:paraId="2AC2AA4E">
            <w:pPr>
              <w:keepNext w:val="0"/>
              <w:keepLines w:val="0"/>
              <w:pageBreakBefore w:val="0"/>
              <w:widowControl w:val="0"/>
              <w:kinsoku/>
              <w:wordWrap/>
              <w:overflowPunct/>
              <w:topLinePunct w:val="0"/>
              <w:autoSpaceDE/>
              <w:autoSpaceDN/>
              <w:bidi w:val="0"/>
              <w:adjustRightInd/>
              <w:snapToGrid/>
              <w:ind w:left="21" w:leftChars="10" w:right="21" w:rightChars="10" w:firstLine="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设备管理</w:t>
            </w:r>
          </w:p>
        </w:tc>
        <w:tc>
          <w:tcPr>
            <w:tcW w:w="3346" w:type="dxa"/>
            <w:shd w:val="clear" w:color="auto" w:fill="auto"/>
            <w:vAlign w:val="bottom"/>
          </w:tcPr>
          <w:p w14:paraId="46A5D348">
            <w:pPr>
              <w:keepNext w:val="0"/>
              <w:keepLines w:val="0"/>
              <w:pageBreakBefore w:val="0"/>
              <w:widowControl w:val="0"/>
              <w:kinsoku/>
              <w:wordWrap/>
              <w:overflowPunct/>
              <w:topLinePunct w:val="0"/>
              <w:autoSpaceDE/>
              <w:autoSpaceDN/>
              <w:bidi w:val="0"/>
              <w:adjustRightInd/>
              <w:snapToGrid/>
              <w:ind w:left="21" w:leftChars="10" w:right="21" w:rightChars="10" w:firstLine="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定期</w:t>
            </w:r>
            <w:r>
              <w:rPr>
                <w:rFonts w:hint="eastAsia" w:ascii="宋体" w:hAnsi="宋体" w:eastAsia="宋体" w:cs="宋体"/>
                <w:sz w:val="24"/>
                <w:szCs w:val="24"/>
                <w:highlight w:val="none"/>
              </w:rPr>
              <w:t>对设备运行情况进行检查</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lang w:val="en-US" w:eastAsia="zh-CN"/>
              </w:rPr>
              <w:t>若设备产生故障，必须在24小时内完成维修</w:t>
            </w:r>
            <w:r>
              <w:rPr>
                <w:rFonts w:hint="eastAsia" w:ascii="宋体" w:hAnsi="宋体" w:eastAsia="宋体" w:cs="宋体"/>
                <w:sz w:val="24"/>
                <w:szCs w:val="24"/>
                <w:highlight w:val="none"/>
              </w:rPr>
              <w:t>。</w:t>
            </w:r>
          </w:p>
        </w:tc>
        <w:tc>
          <w:tcPr>
            <w:tcW w:w="2813" w:type="dxa"/>
            <w:shd w:val="clear" w:color="auto" w:fill="auto"/>
            <w:vAlign w:val="center"/>
          </w:tcPr>
          <w:p w14:paraId="3F4BD594">
            <w:pPr>
              <w:keepNext w:val="0"/>
              <w:keepLines w:val="0"/>
              <w:pageBreakBefore w:val="0"/>
              <w:widowControl w:val="0"/>
              <w:kinsoku/>
              <w:wordWrap/>
              <w:overflowPunct/>
              <w:topLinePunct w:val="0"/>
              <w:autoSpaceDE/>
              <w:autoSpaceDN/>
              <w:bidi w:val="0"/>
              <w:adjustRightInd/>
              <w:snapToGrid/>
              <w:ind w:left="21" w:leftChars="10" w:right="21" w:rightChars="10" w:firstLine="0"/>
              <w:textAlignment w:val="auto"/>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rPr>
              <w:t>若</w:t>
            </w:r>
            <w:r>
              <w:rPr>
                <w:rFonts w:hint="eastAsia" w:ascii="宋体" w:hAnsi="宋体" w:eastAsia="宋体" w:cs="宋体"/>
                <w:sz w:val="24"/>
                <w:szCs w:val="24"/>
                <w:highlight w:val="none"/>
                <w:lang w:val="en-US" w:eastAsia="zh-CN"/>
              </w:rPr>
              <w:t>因设备问题造成拥堵或其他影响的</w:t>
            </w:r>
            <w:r>
              <w:rPr>
                <w:rFonts w:hint="eastAsia" w:ascii="宋体" w:hAnsi="宋体" w:eastAsia="宋体" w:cs="宋体"/>
                <w:sz w:val="24"/>
                <w:szCs w:val="24"/>
                <w:highlight w:val="none"/>
              </w:rPr>
              <w:t>，每次扣1分</w:t>
            </w:r>
            <w:r>
              <w:rPr>
                <w:rFonts w:hint="eastAsia" w:ascii="宋体" w:hAnsi="宋体" w:cs="宋体"/>
                <w:sz w:val="24"/>
                <w:szCs w:val="24"/>
                <w:highlight w:val="none"/>
                <w:lang w:eastAsia="zh-CN"/>
              </w:rPr>
              <w:t>。</w:t>
            </w:r>
          </w:p>
        </w:tc>
        <w:tc>
          <w:tcPr>
            <w:tcW w:w="1214" w:type="dxa"/>
            <w:vMerge w:val="continue"/>
            <w:shd w:val="clear" w:color="auto" w:fill="auto"/>
            <w:vAlign w:val="center"/>
          </w:tcPr>
          <w:p w14:paraId="0E0CB10E">
            <w:pPr>
              <w:keepNext w:val="0"/>
              <w:keepLines w:val="0"/>
              <w:pageBreakBefore w:val="0"/>
              <w:widowControl w:val="0"/>
              <w:kinsoku/>
              <w:wordWrap/>
              <w:overflowPunct/>
              <w:topLinePunct w:val="0"/>
              <w:autoSpaceDE/>
              <w:autoSpaceDN/>
              <w:bidi w:val="0"/>
              <w:adjustRightInd/>
              <w:snapToGrid/>
              <w:ind w:left="21" w:leftChars="10" w:right="21" w:rightChars="10" w:firstLine="0"/>
              <w:textAlignment w:val="auto"/>
              <w:rPr>
                <w:rFonts w:hint="eastAsia" w:ascii="宋体" w:hAnsi="宋体" w:eastAsia="宋体" w:cs="宋体"/>
                <w:sz w:val="24"/>
                <w:szCs w:val="24"/>
                <w:highlight w:val="none"/>
              </w:rPr>
            </w:pPr>
          </w:p>
        </w:tc>
      </w:tr>
      <w:tr w14:paraId="0A2764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 w:type="dxa"/>
            <w:bottom w:w="0" w:type="dxa"/>
            <w:right w:w="10" w:type="dxa"/>
          </w:tblCellMar>
        </w:tblPrEx>
        <w:trPr>
          <w:trHeight w:val="571" w:hRule="exact"/>
        </w:trPr>
        <w:tc>
          <w:tcPr>
            <w:tcW w:w="643" w:type="dxa"/>
            <w:vMerge w:val="continue"/>
            <w:shd w:val="clear" w:color="auto" w:fill="auto"/>
            <w:vAlign w:val="center"/>
          </w:tcPr>
          <w:p w14:paraId="0680522F">
            <w:pPr>
              <w:keepNext w:val="0"/>
              <w:keepLines w:val="0"/>
              <w:pageBreakBefore w:val="0"/>
              <w:widowControl w:val="0"/>
              <w:kinsoku/>
              <w:wordWrap/>
              <w:overflowPunct/>
              <w:topLinePunct w:val="0"/>
              <w:autoSpaceDE/>
              <w:autoSpaceDN/>
              <w:bidi w:val="0"/>
              <w:adjustRightInd/>
              <w:snapToGrid/>
              <w:ind w:left="21" w:leftChars="10" w:right="21" w:rightChars="10" w:firstLine="0"/>
              <w:textAlignment w:val="auto"/>
              <w:rPr>
                <w:rFonts w:hint="eastAsia" w:ascii="宋体" w:hAnsi="宋体" w:eastAsia="宋体" w:cs="宋体"/>
                <w:sz w:val="24"/>
                <w:szCs w:val="24"/>
                <w:highlight w:val="none"/>
              </w:rPr>
            </w:pPr>
          </w:p>
        </w:tc>
        <w:tc>
          <w:tcPr>
            <w:tcW w:w="1373" w:type="dxa"/>
            <w:vMerge w:val="continue"/>
            <w:shd w:val="clear" w:color="auto" w:fill="auto"/>
            <w:vAlign w:val="center"/>
          </w:tcPr>
          <w:p w14:paraId="7D7D9EAF">
            <w:pPr>
              <w:keepNext w:val="0"/>
              <w:keepLines w:val="0"/>
              <w:pageBreakBefore w:val="0"/>
              <w:widowControl w:val="0"/>
              <w:kinsoku/>
              <w:wordWrap/>
              <w:overflowPunct/>
              <w:topLinePunct w:val="0"/>
              <w:autoSpaceDE/>
              <w:autoSpaceDN/>
              <w:bidi w:val="0"/>
              <w:adjustRightInd/>
              <w:snapToGrid/>
              <w:ind w:left="21" w:leftChars="10" w:right="21" w:rightChars="10" w:firstLine="0"/>
              <w:textAlignment w:val="auto"/>
              <w:rPr>
                <w:rFonts w:hint="eastAsia" w:ascii="宋体" w:hAnsi="宋体" w:eastAsia="宋体" w:cs="宋体"/>
                <w:sz w:val="24"/>
                <w:szCs w:val="24"/>
                <w:highlight w:val="none"/>
              </w:rPr>
            </w:pPr>
          </w:p>
        </w:tc>
        <w:tc>
          <w:tcPr>
            <w:tcW w:w="3346" w:type="dxa"/>
            <w:shd w:val="clear" w:color="auto" w:fill="auto"/>
            <w:vAlign w:val="center"/>
          </w:tcPr>
          <w:p w14:paraId="16D2F4DB">
            <w:pPr>
              <w:keepNext w:val="0"/>
              <w:keepLines w:val="0"/>
              <w:pageBreakBefore w:val="0"/>
              <w:widowControl w:val="0"/>
              <w:kinsoku/>
              <w:wordWrap/>
              <w:overflowPunct/>
              <w:topLinePunct w:val="0"/>
              <w:autoSpaceDE/>
              <w:autoSpaceDN/>
              <w:bidi w:val="0"/>
              <w:adjustRightInd/>
              <w:snapToGrid/>
              <w:ind w:left="21" w:leftChars="10" w:right="21" w:rightChars="10" w:firstLine="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交通</w:t>
            </w:r>
            <w:r>
              <w:rPr>
                <w:rFonts w:hint="eastAsia" w:ascii="宋体" w:hAnsi="宋体" w:eastAsia="宋体" w:cs="宋体"/>
                <w:sz w:val="24"/>
                <w:szCs w:val="24"/>
                <w:highlight w:val="none"/>
                <w:lang w:val="en-US" w:eastAsia="zh-CN"/>
              </w:rPr>
              <w:t>及停车场</w:t>
            </w:r>
            <w:r>
              <w:rPr>
                <w:rFonts w:hint="eastAsia" w:ascii="宋体" w:hAnsi="宋体" w:eastAsia="宋体" w:cs="宋体"/>
                <w:sz w:val="24"/>
                <w:szCs w:val="24"/>
                <w:highlight w:val="none"/>
              </w:rPr>
              <w:t>设施标识完好。</w:t>
            </w:r>
          </w:p>
        </w:tc>
        <w:tc>
          <w:tcPr>
            <w:tcW w:w="2813" w:type="dxa"/>
            <w:shd w:val="clear" w:color="auto" w:fill="auto"/>
            <w:vAlign w:val="center"/>
          </w:tcPr>
          <w:p w14:paraId="5A347F48">
            <w:pPr>
              <w:keepNext w:val="0"/>
              <w:keepLines w:val="0"/>
              <w:pageBreakBefore w:val="0"/>
              <w:widowControl w:val="0"/>
              <w:kinsoku/>
              <w:wordWrap/>
              <w:overflowPunct/>
              <w:topLinePunct w:val="0"/>
              <w:autoSpaceDE/>
              <w:autoSpaceDN/>
              <w:bidi w:val="0"/>
              <w:adjustRightInd/>
              <w:snapToGrid/>
              <w:ind w:left="21" w:leftChars="10" w:right="21" w:rightChars="10" w:firstLine="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缺失一处</w:t>
            </w:r>
            <w:r>
              <w:rPr>
                <w:rFonts w:hint="eastAsia" w:ascii="宋体" w:hAnsi="宋体" w:eastAsia="宋体" w:cs="宋体"/>
                <w:sz w:val="24"/>
                <w:szCs w:val="24"/>
                <w:highlight w:val="none"/>
              </w:rPr>
              <w:t>扣</w:t>
            </w:r>
            <w:r>
              <w:rPr>
                <w:rFonts w:hint="eastAsia" w:ascii="宋体" w:hAnsi="宋体" w:eastAsia="宋体" w:cs="宋体"/>
                <w:sz w:val="24"/>
                <w:szCs w:val="24"/>
                <w:highlight w:val="none"/>
                <w:lang w:val="en-US" w:eastAsia="en-US"/>
              </w:rPr>
              <w:t>0.5</w:t>
            </w:r>
            <w:r>
              <w:rPr>
                <w:rFonts w:hint="eastAsia" w:ascii="宋体" w:hAnsi="宋体" w:eastAsia="宋体" w:cs="宋体"/>
                <w:sz w:val="24"/>
                <w:szCs w:val="24"/>
                <w:highlight w:val="none"/>
              </w:rPr>
              <w:t>分。</w:t>
            </w:r>
          </w:p>
        </w:tc>
        <w:tc>
          <w:tcPr>
            <w:tcW w:w="1214" w:type="dxa"/>
            <w:vMerge w:val="continue"/>
            <w:shd w:val="clear" w:color="auto" w:fill="auto"/>
            <w:vAlign w:val="center"/>
          </w:tcPr>
          <w:p w14:paraId="17992108">
            <w:pPr>
              <w:keepNext w:val="0"/>
              <w:keepLines w:val="0"/>
              <w:pageBreakBefore w:val="0"/>
              <w:widowControl w:val="0"/>
              <w:kinsoku/>
              <w:wordWrap/>
              <w:overflowPunct/>
              <w:topLinePunct w:val="0"/>
              <w:autoSpaceDE/>
              <w:autoSpaceDN/>
              <w:bidi w:val="0"/>
              <w:adjustRightInd/>
              <w:snapToGrid/>
              <w:ind w:left="21" w:leftChars="10" w:right="21" w:rightChars="10" w:firstLine="0"/>
              <w:textAlignment w:val="auto"/>
              <w:rPr>
                <w:rFonts w:hint="eastAsia" w:ascii="宋体" w:hAnsi="宋体" w:eastAsia="宋体" w:cs="宋体"/>
                <w:sz w:val="24"/>
                <w:szCs w:val="24"/>
                <w:highlight w:val="none"/>
              </w:rPr>
            </w:pPr>
          </w:p>
        </w:tc>
      </w:tr>
      <w:tr w14:paraId="67AF86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 w:type="dxa"/>
            <w:bottom w:w="0" w:type="dxa"/>
            <w:right w:w="10" w:type="dxa"/>
          </w:tblCellMar>
        </w:tblPrEx>
        <w:trPr>
          <w:trHeight w:val="950" w:hRule="exact"/>
        </w:trPr>
        <w:tc>
          <w:tcPr>
            <w:tcW w:w="643" w:type="dxa"/>
            <w:vMerge w:val="continue"/>
            <w:shd w:val="clear" w:color="auto" w:fill="auto"/>
            <w:vAlign w:val="center"/>
          </w:tcPr>
          <w:p w14:paraId="11EC99DF">
            <w:pPr>
              <w:keepNext w:val="0"/>
              <w:keepLines w:val="0"/>
              <w:pageBreakBefore w:val="0"/>
              <w:widowControl w:val="0"/>
              <w:kinsoku/>
              <w:wordWrap/>
              <w:overflowPunct/>
              <w:topLinePunct w:val="0"/>
              <w:autoSpaceDE/>
              <w:autoSpaceDN/>
              <w:bidi w:val="0"/>
              <w:adjustRightInd/>
              <w:snapToGrid/>
              <w:ind w:left="21" w:leftChars="10" w:right="21" w:rightChars="10" w:firstLine="0"/>
              <w:textAlignment w:val="auto"/>
              <w:rPr>
                <w:rFonts w:hint="eastAsia" w:ascii="宋体" w:hAnsi="宋体" w:eastAsia="宋体" w:cs="宋体"/>
                <w:sz w:val="24"/>
                <w:szCs w:val="24"/>
                <w:highlight w:val="none"/>
              </w:rPr>
            </w:pPr>
          </w:p>
        </w:tc>
        <w:tc>
          <w:tcPr>
            <w:tcW w:w="1373" w:type="dxa"/>
            <w:vMerge w:val="restart"/>
            <w:shd w:val="clear" w:color="auto" w:fill="auto"/>
            <w:vAlign w:val="center"/>
          </w:tcPr>
          <w:p w14:paraId="23B3EFBA">
            <w:pPr>
              <w:keepNext w:val="0"/>
              <w:keepLines w:val="0"/>
              <w:pageBreakBefore w:val="0"/>
              <w:widowControl w:val="0"/>
              <w:kinsoku/>
              <w:wordWrap/>
              <w:overflowPunct/>
              <w:topLinePunct w:val="0"/>
              <w:autoSpaceDE/>
              <w:autoSpaceDN/>
              <w:bidi w:val="0"/>
              <w:adjustRightInd/>
              <w:snapToGrid/>
              <w:ind w:left="21" w:leftChars="10" w:right="21" w:rightChars="10" w:firstLine="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案作规程</w:t>
            </w:r>
          </w:p>
        </w:tc>
        <w:tc>
          <w:tcPr>
            <w:tcW w:w="3346" w:type="dxa"/>
            <w:shd w:val="clear" w:color="auto" w:fill="auto"/>
            <w:vAlign w:val="center"/>
          </w:tcPr>
          <w:p w14:paraId="6A9C7D23">
            <w:pPr>
              <w:keepNext w:val="0"/>
              <w:keepLines w:val="0"/>
              <w:pageBreakBefore w:val="0"/>
              <w:widowControl w:val="0"/>
              <w:kinsoku/>
              <w:wordWrap/>
              <w:overflowPunct/>
              <w:topLinePunct w:val="0"/>
              <w:autoSpaceDE/>
              <w:autoSpaceDN/>
              <w:bidi w:val="0"/>
              <w:adjustRightInd/>
              <w:snapToGrid/>
              <w:ind w:left="21" w:leftChars="10" w:right="21" w:rightChars="10" w:firstLine="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在车辆管理中不得扣押车辆停放者证件</w:t>
            </w:r>
            <w:r>
              <w:rPr>
                <w:rFonts w:hint="eastAsia" w:ascii="宋体" w:hAnsi="宋体" w:eastAsia="宋体" w:cs="宋体"/>
                <w:sz w:val="24"/>
                <w:szCs w:val="24"/>
                <w:highlight w:val="none"/>
                <w:lang w:val="en-US" w:eastAsia="zh-CN"/>
              </w:rPr>
              <w:t>或</w:t>
            </w:r>
            <w:r>
              <w:rPr>
                <w:rFonts w:hint="eastAsia" w:ascii="宋体" w:hAnsi="宋体" w:eastAsia="宋体" w:cs="宋体"/>
                <w:sz w:val="24"/>
                <w:szCs w:val="24"/>
                <w:highlight w:val="none"/>
              </w:rPr>
              <w:t>财物</w:t>
            </w:r>
            <w:r>
              <w:rPr>
                <w:rFonts w:hint="eastAsia" w:ascii="宋体" w:hAnsi="宋体" w:eastAsia="宋体" w:cs="宋体"/>
                <w:sz w:val="24"/>
                <w:szCs w:val="24"/>
                <w:highlight w:val="none"/>
                <w:lang w:val="en-US" w:eastAsia="zh-CN"/>
              </w:rPr>
              <w:t>等私人物品</w:t>
            </w:r>
            <w:r>
              <w:rPr>
                <w:rFonts w:hint="eastAsia" w:ascii="宋体" w:hAnsi="宋体" w:eastAsia="宋体" w:cs="宋体"/>
                <w:sz w:val="24"/>
                <w:szCs w:val="24"/>
                <w:highlight w:val="none"/>
              </w:rPr>
              <w:t>。</w:t>
            </w:r>
          </w:p>
        </w:tc>
        <w:tc>
          <w:tcPr>
            <w:tcW w:w="2813" w:type="dxa"/>
            <w:shd w:val="clear" w:color="auto" w:fill="auto"/>
            <w:vAlign w:val="center"/>
          </w:tcPr>
          <w:p w14:paraId="2533AC18">
            <w:pPr>
              <w:keepNext w:val="0"/>
              <w:keepLines w:val="0"/>
              <w:pageBreakBefore w:val="0"/>
              <w:widowControl w:val="0"/>
              <w:kinsoku/>
              <w:wordWrap/>
              <w:overflowPunct/>
              <w:topLinePunct w:val="0"/>
              <w:autoSpaceDE/>
              <w:autoSpaceDN/>
              <w:bidi w:val="0"/>
              <w:adjustRightInd/>
              <w:snapToGrid/>
              <w:ind w:left="21" w:leftChars="10" w:right="21" w:rightChars="10" w:firstLine="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发生</w:t>
            </w:r>
            <w:r>
              <w:rPr>
                <w:rFonts w:hint="eastAsia" w:ascii="宋体" w:hAnsi="宋体" w:eastAsia="宋体" w:cs="宋体"/>
                <w:sz w:val="24"/>
                <w:szCs w:val="24"/>
                <w:highlight w:val="none"/>
              </w:rPr>
              <w:t>一次扣2分。</w:t>
            </w:r>
          </w:p>
        </w:tc>
        <w:tc>
          <w:tcPr>
            <w:tcW w:w="1214" w:type="dxa"/>
            <w:vMerge w:val="continue"/>
            <w:shd w:val="clear" w:color="auto" w:fill="auto"/>
            <w:vAlign w:val="center"/>
          </w:tcPr>
          <w:p w14:paraId="0C852A59">
            <w:pPr>
              <w:keepNext w:val="0"/>
              <w:keepLines w:val="0"/>
              <w:pageBreakBefore w:val="0"/>
              <w:widowControl w:val="0"/>
              <w:kinsoku/>
              <w:wordWrap/>
              <w:overflowPunct/>
              <w:topLinePunct w:val="0"/>
              <w:autoSpaceDE/>
              <w:autoSpaceDN/>
              <w:bidi w:val="0"/>
              <w:adjustRightInd/>
              <w:snapToGrid/>
              <w:ind w:left="21" w:leftChars="10" w:right="21" w:rightChars="10" w:firstLine="0"/>
              <w:textAlignment w:val="auto"/>
              <w:rPr>
                <w:rFonts w:hint="eastAsia" w:ascii="宋体" w:hAnsi="宋体" w:eastAsia="宋体" w:cs="宋体"/>
                <w:sz w:val="24"/>
                <w:szCs w:val="24"/>
                <w:highlight w:val="none"/>
              </w:rPr>
            </w:pPr>
          </w:p>
        </w:tc>
      </w:tr>
      <w:tr w14:paraId="0FE5D3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 w:type="dxa"/>
            <w:bottom w:w="0" w:type="dxa"/>
            <w:right w:w="10" w:type="dxa"/>
          </w:tblCellMar>
        </w:tblPrEx>
        <w:trPr>
          <w:trHeight w:val="653" w:hRule="exact"/>
        </w:trPr>
        <w:tc>
          <w:tcPr>
            <w:tcW w:w="643" w:type="dxa"/>
            <w:vMerge w:val="continue"/>
            <w:shd w:val="clear" w:color="auto" w:fill="auto"/>
            <w:vAlign w:val="center"/>
          </w:tcPr>
          <w:p w14:paraId="0D0FDFFF">
            <w:pPr>
              <w:keepNext w:val="0"/>
              <w:keepLines w:val="0"/>
              <w:pageBreakBefore w:val="0"/>
              <w:widowControl w:val="0"/>
              <w:kinsoku/>
              <w:wordWrap/>
              <w:overflowPunct/>
              <w:topLinePunct w:val="0"/>
              <w:autoSpaceDE/>
              <w:autoSpaceDN/>
              <w:bidi w:val="0"/>
              <w:adjustRightInd/>
              <w:snapToGrid/>
              <w:ind w:left="21" w:leftChars="10" w:right="21" w:rightChars="10" w:firstLine="0"/>
              <w:textAlignment w:val="auto"/>
              <w:rPr>
                <w:rFonts w:hint="eastAsia" w:ascii="宋体" w:hAnsi="宋体" w:eastAsia="宋体" w:cs="宋体"/>
                <w:sz w:val="24"/>
                <w:szCs w:val="24"/>
                <w:highlight w:val="none"/>
              </w:rPr>
            </w:pPr>
          </w:p>
        </w:tc>
        <w:tc>
          <w:tcPr>
            <w:tcW w:w="1373" w:type="dxa"/>
            <w:vMerge w:val="continue"/>
            <w:shd w:val="clear" w:color="auto" w:fill="auto"/>
            <w:vAlign w:val="center"/>
          </w:tcPr>
          <w:p w14:paraId="1DB0A01D">
            <w:pPr>
              <w:keepNext w:val="0"/>
              <w:keepLines w:val="0"/>
              <w:pageBreakBefore w:val="0"/>
              <w:widowControl w:val="0"/>
              <w:kinsoku/>
              <w:wordWrap/>
              <w:overflowPunct/>
              <w:topLinePunct w:val="0"/>
              <w:autoSpaceDE/>
              <w:autoSpaceDN/>
              <w:bidi w:val="0"/>
              <w:adjustRightInd/>
              <w:snapToGrid/>
              <w:ind w:left="21" w:leftChars="10" w:right="21" w:rightChars="10" w:firstLine="0"/>
              <w:textAlignment w:val="auto"/>
              <w:rPr>
                <w:rFonts w:hint="eastAsia" w:ascii="宋体" w:hAnsi="宋体" w:eastAsia="宋体" w:cs="宋体"/>
                <w:sz w:val="24"/>
                <w:szCs w:val="24"/>
                <w:highlight w:val="none"/>
              </w:rPr>
            </w:pPr>
          </w:p>
        </w:tc>
        <w:tc>
          <w:tcPr>
            <w:tcW w:w="3346" w:type="dxa"/>
            <w:shd w:val="clear" w:color="auto" w:fill="auto"/>
            <w:vAlign w:val="bottom"/>
          </w:tcPr>
          <w:p w14:paraId="66AF0694">
            <w:pPr>
              <w:keepNext w:val="0"/>
              <w:keepLines w:val="0"/>
              <w:pageBreakBefore w:val="0"/>
              <w:widowControl w:val="0"/>
              <w:kinsoku/>
              <w:wordWrap/>
              <w:overflowPunct/>
              <w:topLinePunct w:val="0"/>
              <w:autoSpaceDE/>
              <w:autoSpaceDN/>
              <w:bidi w:val="0"/>
              <w:adjustRightInd/>
              <w:snapToGrid/>
              <w:ind w:left="21" w:leftChars="10" w:right="21" w:rightChars="10" w:firstLine="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按与</w:t>
            </w:r>
            <w:r>
              <w:rPr>
                <w:rFonts w:hint="eastAsia" w:ascii="宋体" w:hAnsi="宋体" w:cs="宋体"/>
                <w:sz w:val="24"/>
                <w:szCs w:val="24"/>
                <w:highlight w:val="none"/>
                <w:lang w:val="en-US" w:eastAsia="zh-CN"/>
              </w:rPr>
              <w:t>甲方</w:t>
            </w:r>
            <w:r>
              <w:rPr>
                <w:rFonts w:hint="eastAsia" w:ascii="宋体" w:hAnsi="宋体" w:eastAsia="宋体" w:cs="宋体"/>
                <w:sz w:val="24"/>
                <w:szCs w:val="24"/>
                <w:highlight w:val="none"/>
                <w:lang w:val="en-US" w:eastAsia="zh-CN"/>
              </w:rPr>
              <w:t>约定收费标准对停放车辆进行收费及开具有效发票。</w:t>
            </w:r>
          </w:p>
        </w:tc>
        <w:tc>
          <w:tcPr>
            <w:tcW w:w="2813" w:type="dxa"/>
            <w:shd w:val="clear" w:color="auto" w:fill="auto"/>
            <w:vAlign w:val="center"/>
          </w:tcPr>
          <w:p w14:paraId="6188B082">
            <w:pPr>
              <w:keepNext w:val="0"/>
              <w:keepLines w:val="0"/>
              <w:pageBreakBefore w:val="0"/>
              <w:widowControl w:val="0"/>
              <w:kinsoku/>
              <w:wordWrap/>
              <w:overflowPunct/>
              <w:topLinePunct w:val="0"/>
              <w:autoSpaceDE/>
              <w:autoSpaceDN/>
              <w:bidi w:val="0"/>
              <w:adjustRightInd/>
              <w:snapToGrid/>
              <w:ind w:left="21" w:leftChars="10" w:right="21" w:rightChars="10" w:firstLine="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违反</w:t>
            </w:r>
            <w:r>
              <w:rPr>
                <w:rFonts w:hint="eastAsia" w:ascii="宋体" w:hAnsi="宋体" w:eastAsia="宋体" w:cs="宋体"/>
                <w:sz w:val="24"/>
                <w:szCs w:val="24"/>
                <w:highlight w:val="none"/>
              </w:rPr>
              <w:t>一次扣2分。</w:t>
            </w:r>
          </w:p>
        </w:tc>
        <w:tc>
          <w:tcPr>
            <w:tcW w:w="1214" w:type="dxa"/>
            <w:vMerge w:val="continue"/>
            <w:shd w:val="clear" w:color="auto" w:fill="auto"/>
            <w:vAlign w:val="center"/>
          </w:tcPr>
          <w:p w14:paraId="2A313AC8">
            <w:pPr>
              <w:keepNext w:val="0"/>
              <w:keepLines w:val="0"/>
              <w:pageBreakBefore w:val="0"/>
              <w:widowControl w:val="0"/>
              <w:kinsoku/>
              <w:wordWrap/>
              <w:overflowPunct/>
              <w:topLinePunct w:val="0"/>
              <w:autoSpaceDE/>
              <w:autoSpaceDN/>
              <w:bidi w:val="0"/>
              <w:adjustRightInd/>
              <w:snapToGrid/>
              <w:ind w:left="21" w:leftChars="10" w:right="21" w:rightChars="10" w:firstLine="0"/>
              <w:textAlignment w:val="auto"/>
              <w:rPr>
                <w:rFonts w:hint="eastAsia" w:ascii="宋体" w:hAnsi="宋体" w:eastAsia="宋体" w:cs="宋体"/>
                <w:sz w:val="24"/>
                <w:szCs w:val="24"/>
                <w:highlight w:val="none"/>
              </w:rPr>
            </w:pPr>
          </w:p>
        </w:tc>
      </w:tr>
      <w:tr w14:paraId="1046F3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 w:type="dxa"/>
            <w:bottom w:w="0" w:type="dxa"/>
            <w:right w:w="10" w:type="dxa"/>
          </w:tblCellMar>
        </w:tblPrEx>
        <w:trPr>
          <w:trHeight w:val="1667" w:hRule="exact"/>
        </w:trPr>
        <w:tc>
          <w:tcPr>
            <w:tcW w:w="643" w:type="dxa"/>
            <w:vMerge w:val="continue"/>
            <w:shd w:val="clear" w:color="auto" w:fill="auto"/>
            <w:vAlign w:val="center"/>
          </w:tcPr>
          <w:p w14:paraId="2A38E593">
            <w:pPr>
              <w:keepNext w:val="0"/>
              <w:keepLines w:val="0"/>
              <w:pageBreakBefore w:val="0"/>
              <w:widowControl w:val="0"/>
              <w:kinsoku/>
              <w:wordWrap/>
              <w:overflowPunct/>
              <w:topLinePunct w:val="0"/>
              <w:autoSpaceDE/>
              <w:autoSpaceDN/>
              <w:bidi w:val="0"/>
              <w:adjustRightInd/>
              <w:snapToGrid/>
              <w:ind w:left="21" w:leftChars="10" w:right="21" w:rightChars="10" w:firstLine="0"/>
              <w:textAlignment w:val="auto"/>
              <w:rPr>
                <w:rFonts w:hint="eastAsia" w:ascii="宋体" w:hAnsi="宋体" w:eastAsia="宋体" w:cs="宋体"/>
                <w:sz w:val="24"/>
                <w:szCs w:val="24"/>
                <w:highlight w:val="none"/>
              </w:rPr>
            </w:pPr>
          </w:p>
        </w:tc>
        <w:tc>
          <w:tcPr>
            <w:tcW w:w="1373" w:type="dxa"/>
            <w:vMerge w:val="continue"/>
            <w:shd w:val="clear" w:color="auto" w:fill="auto"/>
            <w:vAlign w:val="center"/>
          </w:tcPr>
          <w:p w14:paraId="71FF093F">
            <w:pPr>
              <w:keepNext w:val="0"/>
              <w:keepLines w:val="0"/>
              <w:pageBreakBefore w:val="0"/>
              <w:widowControl w:val="0"/>
              <w:kinsoku/>
              <w:wordWrap/>
              <w:overflowPunct/>
              <w:topLinePunct w:val="0"/>
              <w:autoSpaceDE/>
              <w:autoSpaceDN/>
              <w:bidi w:val="0"/>
              <w:adjustRightInd/>
              <w:snapToGrid/>
              <w:ind w:left="21" w:leftChars="10" w:right="21" w:rightChars="10" w:firstLine="0"/>
              <w:textAlignment w:val="auto"/>
              <w:rPr>
                <w:rFonts w:hint="eastAsia" w:ascii="宋体" w:hAnsi="宋体" w:eastAsia="宋体" w:cs="宋体"/>
                <w:sz w:val="24"/>
                <w:szCs w:val="24"/>
                <w:highlight w:val="none"/>
              </w:rPr>
            </w:pPr>
          </w:p>
        </w:tc>
        <w:tc>
          <w:tcPr>
            <w:tcW w:w="3346" w:type="dxa"/>
            <w:shd w:val="clear" w:color="auto" w:fill="auto"/>
            <w:vAlign w:val="center"/>
          </w:tcPr>
          <w:p w14:paraId="508A6695">
            <w:pPr>
              <w:keepNext w:val="0"/>
              <w:keepLines w:val="0"/>
              <w:pageBreakBefore w:val="0"/>
              <w:widowControl w:val="0"/>
              <w:kinsoku/>
              <w:wordWrap/>
              <w:overflowPunct/>
              <w:topLinePunct w:val="0"/>
              <w:autoSpaceDE/>
              <w:autoSpaceDN/>
              <w:bidi w:val="0"/>
              <w:adjustRightInd/>
              <w:snapToGrid/>
              <w:ind w:left="21" w:leftChars="10" w:right="21" w:rightChars="10" w:firstLine="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rPr>
              <w:t>在停车场</w:t>
            </w:r>
            <w:r>
              <w:rPr>
                <w:rFonts w:hint="eastAsia" w:ascii="宋体" w:hAnsi="宋体" w:eastAsia="宋体" w:cs="宋体"/>
                <w:sz w:val="24"/>
                <w:szCs w:val="24"/>
                <w:highlight w:val="none"/>
                <w:lang w:val="en-US" w:eastAsia="zh-CN"/>
              </w:rPr>
              <w:t>内</w:t>
            </w:r>
            <w:r>
              <w:rPr>
                <w:rFonts w:hint="eastAsia" w:ascii="宋体" w:hAnsi="宋体" w:eastAsia="宋体" w:cs="宋体"/>
                <w:sz w:val="24"/>
                <w:szCs w:val="24"/>
                <w:highlight w:val="none"/>
              </w:rPr>
              <w:t>发生汽车车损</w:t>
            </w:r>
            <w:r>
              <w:rPr>
                <w:rFonts w:hint="eastAsia" w:ascii="宋体" w:hAnsi="宋体" w:eastAsia="宋体" w:cs="宋体"/>
                <w:sz w:val="24"/>
                <w:szCs w:val="24"/>
                <w:highlight w:val="none"/>
                <w:lang w:val="en-US" w:eastAsia="zh-CN"/>
              </w:rPr>
              <w:t>等</w:t>
            </w:r>
            <w:r>
              <w:rPr>
                <w:rFonts w:hint="eastAsia" w:ascii="宋体" w:hAnsi="宋体" w:eastAsia="宋体" w:cs="宋体"/>
                <w:sz w:val="24"/>
                <w:szCs w:val="24"/>
                <w:highlight w:val="none"/>
              </w:rPr>
              <w:t>事故</w:t>
            </w:r>
            <w:r>
              <w:rPr>
                <w:rFonts w:hint="eastAsia" w:ascii="宋体" w:hAnsi="宋体" w:eastAsia="宋体" w:cs="宋体"/>
                <w:sz w:val="24"/>
                <w:szCs w:val="24"/>
                <w:highlight w:val="none"/>
                <w:lang w:val="en-US" w:eastAsia="zh-CN"/>
              </w:rPr>
              <w:t>等</w:t>
            </w:r>
          </w:p>
          <w:p w14:paraId="2A1E9A02">
            <w:pPr>
              <w:keepNext w:val="0"/>
              <w:keepLines w:val="0"/>
              <w:pageBreakBefore w:val="0"/>
              <w:widowControl w:val="0"/>
              <w:kinsoku/>
              <w:wordWrap/>
              <w:overflowPunct/>
              <w:topLinePunct w:val="0"/>
              <w:autoSpaceDE/>
              <w:autoSpaceDN/>
              <w:bidi w:val="0"/>
              <w:adjustRightInd/>
              <w:snapToGrid/>
              <w:ind w:left="21" w:leftChars="10" w:right="21" w:rightChars="10" w:firstLine="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时</w:t>
            </w:r>
            <w:r>
              <w:rPr>
                <w:rFonts w:hint="eastAsia" w:ascii="宋体" w:hAnsi="宋体" w:eastAsia="宋体" w:cs="宋体"/>
                <w:sz w:val="24"/>
                <w:szCs w:val="24"/>
                <w:highlight w:val="none"/>
              </w:rPr>
              <w:t>，</w:t>
            </w:r>
            <w:r>
              <w:rPr>
                <w:rFonts w:hint="eastAsia" w:ascii="宋体" w:hAnsi="宋体" w:eastAsia="宋体" w:cs="宋体"/>
                <w:sz w:val="24"/>
                <w:szCs w:val="24"/>
                <w:highlight w:val="none"/>
                <w:lang w:val="en-US" w:eastAsia="zh-CN"/>
              </w:rPr>
              <w:t>需主动</w:t>
            </w:r>
            <w:r>
              <w:rPr>
                <w:rFonts w:hint="eastAsia" w:ascii="宋体" w:hAnsi="宋体" w:eastAsia="宋体" w:cs="宋体"/>
                <w:sz w:val="24"/>
                <w:szCs w:val="24"/>
                <w:highlight w:val="none"/>
              </w:rPr>
              <w:t>报警处</w:t>
            </w:r>
            <w:r>
              <w:rPr>
                <w:rFonts w:hint="eastAsia" w:ascii="宋体" w:hAnsi="宋体" w:eastAsia="宋体" w:cs="宋体"/>
                <w:sz w:val="24"/>
                <w:szCs w:val="24"/>
                <w:highlight w:val="none"/>
                <w:lang w:val="en-US" w:eastAsia="zh-CN"/>
              </w:rPr>
              <w:t>理</w:t>
            </w:r>
            <w:r>
              <w:rPr>
                <w:rFonts w:hint="eastAsia" w:ascii="宋体" w:hAnsi="宋体" w:eastAsia="宋体" w:cs="宋体"/>
                <w:sz w:val="24"/>
                <w:szCs w:val="24"/>
                <w:highlight w:val="none"/>
              </w:rPr>
              <w:t>，</w:t>
            </w:r>
            <w:r>
              <w:rPr>
                <w:rFonts w:hint="eastAsia" w:ascii="宋体" w:hAnsi="宋体" w:eastAsia="宋体" w:cs="宋体"/>
                <w:sz w:val="24"/>
                <w:szCs w:val="24"/>
                <w:highlight w:val="none"/>
                <w:lang w:val="en-US" w:eastAsia="zh-CN"/>
              </w:rPr>
              <w:t>若</w:t>
            </w:r>
            <w:r>
              <w:rPr>
                <w:rFonts w:hint="eastAsia" w:ascii="宋体" w:hAnsi="宋体" w:eastAsia="宋体" w:cs="宋体"/>
                <w:sz w:val="24"/>
                <w:szCs w:val="24"/>
                <w:highlight w:val="none"/>
              </w:rPr>
              <w:t>因</w:t>
            </w:r>
            <w:r>
              <w:rPr>
                <w:rFonts w:hint="eastAsia" w:ascii="宋体" w:hAnsi="宋体" w:eastAsia="宋体" w:cs="宋体"/>
                <w:sz w:val="24"/>
                <w:szCs w:val="24"/>
                <w:highlight w:val="none"/>
                <w:lang w:val="en-US" w:eastAsia="zh-CN"/>
              </w:rPr>
              <w:t>事故造成车辆</w:t>
            </w:r>
            <w:r>
              <w:rPr>
                <w:rFonts w:hint="eastAsia" w:ascii="宋体" w:hAnsi="宋体" w:eastAsia="宋体" w:cs="宋体"/>
                <w:sz w:val="24"/>
                <w:szCs w:val="24"/>
                <w:highlight w:val="none"/>
              </w:rPr>
              <w:t>拥堵的，必须及时协调处理</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lang w:val="en-US" w:eastAsia="zh-CN"/>
              </w:rPr>
              <w:t>且</w:t>
            </w:r>
            <w:r>
              <w:rPr>
                <w:rFonts w:hint="eastAsia" w:ascii="宋体" w:hAnsi="宋体" w:eastAsia="宋体" w:cs="宋体"/>
                <w:sz w:val="24"/>
                <w:szCs w:val="24"/>
                <w:highlight w:val="none"/>
              </w:rPr>
              <w:t>在</w:t>
            </w:r>
            <w:r>
              <w:rPr>
                <w:rFonts w:hint="eastAsia" w:ascii="宋体" w:hAnsi="宋体" w:eastAsia="宋体" w:cs="宋体"/>
                <w:sz w:val="24"/>
                <w:szCs w:val="24"/>
                <w:highlight w:val="none"/>
                <w:lang w:val="en-US" w:eastAsia="zh-CN"/>
              </w:rPr>
              <w:t>20</w:t>
            </w:r>
            <w:r>
              <w:rPr>
                <w:rFonts w:hint="eastAsia" w:ascii="宋体" w:hAnsi="宋体" w:eastAsia="宋体" w:cs="宋体"/>
                <w:sz w:val="24"/>
                <w:szCs w:val="24"/>
                <w:highlight w:val="none"/>
              </w:rPr>
              <w:t>分钟内</w:t>
            </w:r>
            <w:r>
              <w:rPr>
                <w:rFonts w:hint="eastAsia" w:ascii="宋体" w:hAnsi="宋体" w:eastAsia="宋体" w:cs="宋体"/>
                <w:sz w:val="24"/>
                <w:szCs w:val="24"/>
                <w:highlight w:val="none"/>
                <w:lang w:val="en-US" w:eastAsia="zh-CN"/>
              </w:rPr>
              <w:t>完成</w:t>
            </w:r>
            <w:r>
              <w:rPr>
                <w:rFonts w:hint="eastAsia" w:ascii="宋体" w:hAnsi="宋体" w:eastAsia="宋体" w:cs="宋体"/>
                <w:sz w:val="24"/>
                <w:szCs w:val="24"/>
                <w:highlight w:val="none"/>
              </w:rPr>
              <w:t>疏通。</w:t>
            </w:r>
          </w:p>
        </w:tc>
        <w:tc>
          <w:tcPr>
            <w:tcW w:w="2813" w:type="dxa"/>
            <w:shd w:val="clear" w:color="auto" w:fill="auto"/>
            <w:vAlign w:val="center"/>
          </w:tcPr>
          <w:p w14:paraId="0979B89C">
            <w:pPr>
              <w:keepNext w:val="0"/>
              <w:keepLines w:val="0"/>
              <w:pageBreakBefore w:val="0"/>
              <w:widowControl w:val="0"/>
              <w:kinsoku/>
              <w:wordWrap/>
              <w:overflowPunct/>
              <w:topLinePunct w:val="0"/>
              <w:autoSpaceDE/>
              <w:autoSpaceDN/>
              <w:bidi w:val="0"/>
              <w:adjustRightInd/>
              <w:snapToGrid/>
              <w:ind w:left="21" w:leftChars="10" w:right="21" w:rightChars="10" w:firstLine="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违反一次</w:t>
            </w:r>
            <w:r>
              <w:rPr>
                <w:rFonts w:hint="eastAsia" w:ascii="宋体" w:hAnsi="宋体" w:eastAsia="宋体" w:cs="宋体"/>
                <w:sz w:val="24"/>
                <w:szCs w:val="24"/>
                <w:highlight w:val="none"/>
              </w:rPr>
              <w:t>扣</w:t>
            </w:r>
            <w:r>
              <w:rPr>
                <w:rFonts w:hint="eastAsia" w:ascii="宋体" w:hAnsi="宋体" w:eastAsia="宋体" w:cs="宋体"/>
                <w:sz w:val="24"/>
                <w:szCs w:val="24"/>
                <w:highlight w:val="none"/>
                <w:lang w:val="en-US" w:eastAsia="zh-CN"/>
              </w:rPr>
              <w:t>2</w:t>
            </w:r>
            <w:r>
              <w:rPr>
                <w:rFonts w:hint="eastAsia" w:ascii="宋体" w:hAnsi="宋体" w:eastAsia="宋体" w:cs="宋体"/>
                <w:sz w:val="24"/>
                <w:szCs w:val="24"/>
                <w:highlight w:val="none"/>
              </w:rPr>
              <w:t>分。</w:t>
            </w:r>
          </w:p>
        </w:tc>
        <w:tc>
          <w:tcPr>
            <w:tcW w:w="1214" w:type="dxa"/>
            <w:vMerge w:val="continue"/>
            <w:shd w:val="clear" w:color="auto" w:fill="auto"/>
            <w:vAlign w:val="center"/>
          </w:tcPr>
          <w:p w14:paraId="27E750AF">
            <w:pPr>
              <w:keepNext w:val="0"/>
              <w:keepLines w:val="0"/>
              <w:pageBreakBefore w:val="0"/>
              <w:widowControl w:val="0"/>
              <w:kinsoku/>
              <w:wordWrap/>
              <w:overflowPunct/>
              <w:topLinePunct w:val="0"/>
              <w:autoSpaceDE/>
              <w:autoSpaceDN/>
              <w:bidi w:val="0"/>
              <w:adjustRightInd/>
              <w:snapToGrid/>
              <w:ind w:left="21" w:leftChars="10" w:right="21" w:rightChars="10" w:firstLine="0"/>
              <w:textAlignment w:val="auto"/>
              <w:rPr>
                <w:rFonts w:hint="eastAsia" w:ascii="宋体" w:hAnsi="宋体" w:eastAsia="宋体" w:cs="宋体"/>
                <w:sz w:val="24"/>
                <w:szCs w:val="24"/>
                <w:highlight w:val="none"/>
              </w:rPr>
            </w:pPr>
          </w:p>
        </w:tc>
      </w:tr>
      <w:tr w14:paraId="336A05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 w:type="dxa"/>
            <w:bottom w:w="0" w:type="dxa"/>
            <w:right w:w="10" w:type="dxa"/>
          </w:tblCellMar>
        </w:tblPrEx>
        <w:trPr>
          <w:trHeight w:val="721" w:hRule="exact"/>
        </w:trPr>
        <w:tc>
          <w:tcPr>
            <w:tcW w:w="643" w:type="dxa"/>
            <w:vMerge w:val="continue"/>
            <w:shd w:val="clear" w:color="auto" w:fill="auto"/>
            <w:vAlign w:val="center"/>
          </w:tcPr>
          <w:p w14:paraId="261964BD">
            <w:pPr>
              <w:keepNext w:val="0"/>
              <w:keepLines w:val="0"/>
              <w:pageBreakBefore w:val="0"/>
              <w:widowControl w:val="0"/>
              <w:kinsoku/>
              <w:wordWrap/>
              <w:overflowPunct/>
              <w:topLinePunct w:val="0"/>
              <w:autoSpaceDE/>
              <w:autoSpaceDN/>
              <w:bidi w:val="0"/>
              <w:adjustRightInd/>
              <w:snapToGrid/>
              <w:ind w:left="21" w:leftChars="10" w:right="21" w:rightChars="10" w:firstLine="0"/>
              <w:textAlignment w:val="auto"/>
              <w:rPr>
                <w:rFonts w:hint="eastAsia" w:ascii="宋体" w:hAnsi="宋体" w:eastAsia="宋体" w:cs="宋体"/>
                <w:sz w:val="24"/>
                <w:szCs w:val="24"/>
                <w:highlight w:val="none"/>
              </w:rPr>
            </w:pPr>
          </w:p>
        </w:tc>
        <w:tc>
          <w:tcPr>
            <w:tcW w:w="1373" w:type="dxa"/>
            <w:vMerge w:val="continue"/>
            <w:shd w:val="clear" w:color="auto" w:fill="auto"/>
            <w:vAlign w:val="center"/>
          </w:tcPr>
          <w:p w14:paraId="696A3410">
            <w:pPr>
              <w:keepNext w:val="0"/>
              <w:keepLines w:val="0"/>
              <w:pageBreakBefore w:val="0"/>
              <w:widowControl w:val="0"/>
              <w:kinsoku/>
              <w:wordWrap/>
              <w:overflowPunct/>
              <w:topLinePunct w:val="0"/>
              <w:autoSpaceDE/>
              <w:autoSpaceDN/>
              <w:bidi w:val="0"/>
              <w:adjustRightInd/>
              <w:snapToGrid/>
              <w:ind w:left="21" w:leftChars="10" w:right="21" w:rightChars="10" w:firstLine="0"/>
              <w:textAlignment w:val="auto"/>
              <w:rPr>
                <w:rFonts w:hint="eastAsia" w:ascii="宋体" w:hAnsi="宋体" w:eastAsia="宋体" w:cs="宋体"/>
                <w:sz w:val="24"/>
                <w:szCs w:val="24"/>
                <w:highlight w:val="none"/>
              </w:rPr>
            </w:pPr>
          </w:p>
        </w:tc>
        <w:tc>
          <w:tcPr>
            <w:tcW w:w="3346" w:type="dxa"/>
            <w:shd w:val="clear" w:color="auto" w:fill="auto"/>
            <w:vAlign w:val="center"/>
          </w:tcPr>
          <w:p w14:paraId="1AC88E37">
            <w:pPr>
              <w:keepNext w:val="0"/>
              <w:keepLines w:val="0"/>
              <w:pageBreakBefore w:val="0"/>
              <w:widowControl w:val="0"/>
              <w:kinsoku/>
              <w:wordWrap/>
              <w:overflowPunct/>
              <w:topLinePunct w:val="0"/>
              <w:autoSpaceDE/>
              <w:autoSpaceDN/>
              <w:bidi w:val="0"/>
              <w:adjustRightInd/>
              <w:snapToGrid/>
              <w:ind w:left="21" w:leftChars="10" w:right="21" w:rightChars="10" w:firstLine="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要切实履行防火安全、门前三包、</w:t>
            </w:r>
            <w:r>
              <w:rPr>
                <w:rFonts w:hint="eastAsia" w:ascii="宋体" w:hAnsi="宋体" w:eastAsia="宋体" w:cs="宋体"/>
                <w:sz w:val="24"/>
                <w:szCs w:val="24"/>
                <w:highlight w:val="none"/>
                <w:lang w:val="en-US" w:eastAsia="zh-CN"/>
              </w:rPr>
              <w:t>治安安全等</w:t>
            </w:r>
            <w:r>
              <w:rPr>
                <w:rFonts w:hint="eastAsia" w:ascii="宋体" w:hAnsi="宋体" w:eastAsia="宋体" w:cs="宋体"/>
                <w:sz w:val="24"/>
                <w:szCs w:val="24"/>
                <w:highlight w:val="none"/>
              </w:rPr>
              <w:t>义务。</w:t>
            </w:r>
          </w:p>
        </w:tc>
        <w:tc>
          <w:tcPr>
            <w:tcW w:w="2813" w:type="dxa"/>
            <w:shd w:val="clear" w:color="auto" w:fill="auto"/>
            <w:vAlign w:val="center"/>
          </w:tcPr>
          <w:p w14:paraId="0F709309">
            <w:pPr>
              <w:keepNext w:val="0"/>
              <w:keepLines w:val="0"/>
              <w:pageBreakBefore w:val="0"/>
              <w:widowControl w:val="0"/>
              <w:kinsoku/>
              <w:wordWrap/>
              <w:overflowPunct/>
              <w:topLinePunct w:val="0"/>
              <w:autoSpaceDE/>
              <w:autoSpaceDN/>
              <w:bidi w:val="0"/>
              <w:adjustRightInd/>
              <w:snapToGrid/>
              <w:ind w:left="21" w:leftChars="10" w:right="21" w:rightChars="10" w:firstLine="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产生问题一次</w:t>
            </w:r>
            <w:r>
              <w:rPr>
                <w:rFonts w:hint="eastAsia" w:ascii="宋体" w:hAnsi="宋体" w:eastAsia="宋体" w:cs="宋体"/>
                <w:sz w:val="24"/>
                <w:szCs w:val="24"/>
                <w:highlight w:val="none"/>
              </w:rPr>
              <w:t>扣1分。</w:t>
            </w:r>
          </w:p>
        </w:tc>
        <w:tc>
          <w:tcPr>
            <w:tcW w:w="1214" w:type="dxa"/>
            <w:vMerge w:val="continue"/>
            <w:shd w:val="clear" w:color="auto" w:fill="auto"/>
            <w:vAlign w:val="center"/>
          </w:tcPr>
          <w:p w14:paraId="406A0E32">
            <w:pPr>
              <w:keepNext w:val="0"/>
              <w:keepLines w:val="0"/>
              <w:pageBreakBefore w:val="0"/>
              <w:widowControl w:val="0"/>
              <w:kinsoku/>
              <w:wordWrap/>
              <w:overflowPunct/>
              <w:topLinePunct w:val="0"/>
              <w:autoSpaceDE/>
              <w:autoSpaceDN/>
              <w:bidi w:val="0"/>
              <w:adjustRightInd/>
              <w:snapToGrid/>
              <w:ind w:left="21" w:leftChars="10" w:right="21" w:rightChars="10" w:firstLine="0"/>
              <w:textAlignment w:val="auto"/>
              <w:rPr>
                <w:rFonts w:hint="eastAsia" w:ascii="宋体" w:hAnsi="宋体" w:eastAsia="宋体" w:cs="宋体"/>
                <w:sz w:val="24"/>
                <w:szCs w:val="24"/>
                <w:highlight w:val="none"/>
              </w:rPr>
            </w:pPr>
          </w:p>
        </w:tc>
      </w:tr>
      <w:tr w14:paraId="74C6DB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 w:type="dxa"/>
            <w:bottom w:w="0" w:type="dxa"/>
            <w:right w:w="10" w:type="dxa"/>
          </w:tblCellMar>
        </w:tblPrEx>
        <w:trPr>
          <w:trHeight w:val="643" w:hRule="exact"/>
        </w:trPr>
        <w:tc>
          <w:tcPr>
            <w:tcW w:w="643" w:type="dxa"/>
            <w:vMerge w:val="restart"/>
            <w:shd w:val="clear" w:color="auto" w:fill="auto"/>
            <w:vAlign w:val="center"/>
          </w:tcPr>
          <w:p w14:paraId="16B05C61">
            <w:pPr>
              <w:keepNext w:val="0"/>
              <w:keepLines w:val="0"/>
              <w:pageBreakBefore w:val="0"/>
              <w:widowControl w:val="0"/>
              <w:kinsoku/>
              <w:wordWrap/>
              <w:overflowPunct/>
              <w:topLinePunct w:val="0"/>
              <w:autoSpaceDE/>
              <w:autoSpaceDN/>
              <w:bidi w:val="0"/>
              <w:adjustRightInd/>
              <w:snapToGrid/>
              <w:ind w:left="21" w:leftChars="10" w:right="21" w:rightChars="10" w:firstLine="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单项</w:t>
            </w:r>
          </w:p>
          <w:p w14:paraId="2C5A24B8">
            <w:pPr>
              <w:keepNext w:val="0"/>
              <w:keepLines w:val="0"/>
              <w:pageBreakBefore w:val="0"/>
              <w:widowControl w:val="0"/>
              <w:kinsoku/>
              <w:wordWrap/>
              <w:overflowPunct/>
              <w:topLinePunct w:val="0"/>
              <w:autoSpaceDE/>
              <w:autoSpaceDN/>
              <w:bidi w:val="0"/>
              <w:adjustRightInd/>
              <w:snapToGrid/>
              <w:ind w:left="21" w:leftChars="10" w:right="21" w:rightChars="10" w:firstLine="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考核</w:t>
            </w:r>
          </w:p>
        </w:tc>
        <w:tc>
          <w:tcPr>
            <w:tcW w:w="4719" w:type="dxa"/>
            <w:gridSpan w:val="2"/>
            <w:shd w:val="clear" w:color="auto" w:fill="auto"/>
            <w:vAlign w:val="center"/>
          </w:tcPr>
          <w:p w14:paraId="670A132D">
            <w:pPr>
              <w:keepNext w:val="0"/>
              <w:keepLines w:val="0"/>
              <w:pageBreakBefore w:val="0"/>
              <w:widowControl w:val="0"/>
              <w:kinsoku/>
              <w:wordWrap/>
              <w:overflowPunct/>
              <w:topLinePunct w:val="0"/>
              <w:autoSpaceDE/>
              <w:autoSpaceDN/>
              <w:bidi w:val="0"/>
              <w:adjustRightInd/>
              <w:snapToGrid/>
              <w:ind w:left="21" w:leftChars="10" w:right="21" w:rightChars="10" w:firstLine="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若因服</w:t>
            </w:r>
            <w:r>
              <w:rPr>
                <w:rFonts w:hint="eastAsia" w:ascii="宋体" w:hAnsi="宋体" w:eastAsia="宋体" w:cs="宋体"/>
                <w:sz w:val="24"/>
                <w:szCs w:val="24"/>
                <w:highlight w:val="none"/>
              </w:rPr>
              <w:t>务</w:t>
            </w:r>
            <w:r>
              <w:rPr>
                <w:rFonts w:hint="eastAsia" w:ascii="宋体" w:hAnsi="宋体" w:eastAsia="宋体" w:cs="宋体"/>
                <w:sz w:val="24"/>
                <w:szCs w:val="24"/>
                <w:highlight w:val="none"/>
                <w:lang w:val="en-US" w:eastAsia="zh-CN"/>
              </w:rPr>
              <w:t>问题产生</w:t>
            </w:r>
            <w:r>
              <w:rPr>
                <w:rFonts w:hint="eastAsia" w:ascii="宋体" w:hAnsi="宋体" w:eastAsia="宋体" w:cs="宋体"/>
                <w:sz w:val="24"/>
                <w:szCs w:val="24"/>
                <w:highlight w:val="none"/>
              </w:rPr>
              <w:t>投诉</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lang w:val="en-US" w:eastAsia="zh-CN"/>
              </w:rPr>
              <w:t>且经核实为有效投诉的</w:t>
            </w:r>
            <w:r>
              <w:rPr>
                <w:rFonts w:hint="eastAsia" w:ascii="宋体" w:hAnsi="宋体" w:eastAsia="宋体" w:cs="宋体"/>
                <w:sz w:val="24"/>
                <w:szCs w:val="24"/>
                <w:highlight w:val="none"/>
              </w:rPr>
              <w:t>。</w:t>
            </w:r>
          </w:p>
        </w:tc>
        <w:tc>
          <w:tcPr>
            <w:tcW w:w="2813" w:type="dxa"/>
            <w:shd w:val="clear" w:color="auto" w:fill="auto"/>
            <w:vAlign w:val="center"/>
          </w:tcPr>
          <w:p w14:paraId="386FA40F">
            <w:pPr>
              <w:keepNext w:val="0"/>
              <w:keepLines w:val="0"/>
              <w:pageBreakBefore w:val="0"/>
              <w:widowControl w:val="0"/>
              <w:kinsoku/>
              <w:wordWrap/>
              <w:overflowPunct/>
              <w:topLinePunct w:val="0"/>
              <w:autoSpaceDE/>
              <w:autoSpaceDN/>
              <w:bidi w:val="0"/>
              <w:adjustRightInd/>
              <w:snapToGrid/>
              <w:ind w:left="21" w:leftChars="10" w:right="21" w:rightChars="10" w:firstLine="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每</w:t>
            </w:r>
            <w:r>
              <w:rPr>
                <w:rFonts w:hint="eastAsia" w:ascii="宋体" w:hAnsi="宋体" w:eastAsia="宋体" w:cs="宋体"/>
                <w:sz w:val="24"/>
                <w:szCs w:val="24"/>
                <w:highlight w:val="none"/>
              </w:rPr>
              <w:t>次扣3分。</w:t>
            </w:r>
          </w:p>
        </w:tc>
        <w:tc>
          <w:tcPr>
            <w:tcW w:w="1214" w:type="dxa"/>
            <w:vMerge w:val="continue"/>
            <w:shd w:val="clear" w:color="auto" w:fill="auto"/>
            <w:vAlign w:val="center"/>
          </w:tcPr>
          <w:p w14:paraId="7F336178">
            <w:pPr>
              <w:keepNext w:val="0"/>
              <w:keepLines w:val="0"/>
              <w:pageBreakBefore w:val="0"/>
              <w:widowControl w:val="0"/>
              <w:kinsoku/>
              <w:wordWrap/>
              <w:overflowPunct/>
              <w:topLinePunct w:val="0"/>
              <w:autoSpaceDE/>
              <w:autoSpaceDN/>
              <w:bidi w:val="0"/>
              <w:adjustRightInd/>
              <w:snapToGrid/>
              <w:ind w:left="21" w:leftChars="10" w:right="21" w:rightChars="10" w:firstLine="0"/>
              <w:textAlignment w:val="auto"/>
              <w:rPr>
                <w:rFonts w:hint="eastAsia" w:ascii="宋体" w:hAnsi="宋体" w:eastAsia="宋体" w:cs="宋体"/>
                <w:sz w:val="24"/>
                <w:szCs w:val="24"/>
                <w:highlight w:val="none"/>
              </w:rPr>
            </w:pPr>
          </w:p>
        </w:tc>
      </w:tr>
      <w:tr w14:paraId="5572AC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 w:type="dxa"/>
            <w:bottom w:w="0" w:type="dxa"/>
            <w:right w:w="10" w:type="dxa"/>
          </w:tblCellMar>
        </w:tblPrEx>
        <w:trPr>
          <w:trHeight w:val="1622" w:hRule="exact"/>
        </w:trPr>
        <w:tc>
          <w:tcPr>
            <w:tcW w:w="643" w:type="dxa"/>
            <w:vMerge w:val="continue"/>
            <w:shd w:val="clear" w:color="auto" w:fill="auto"/>
            <w:vAlign w:val="center"/>
          </w:tcPr>
          <w:p w14:paraId="5843AE1C">
            <w:pPr>
              <w:keepNext w:val="0"/>
              <w:keepLines w:val="0"/>
              <w:pageBreakBefore w:val="0"/>
              <w:widowControl w:val="0"/>
              <w:kinsoku/>
              <w:wordWrap/>
              <w:overflowPunct/>
              <w:topLinePunct w:val="0"/>
              <w:autoSpaceDE/>
              <w:autoSpaceDN/>
              <w:bidi w:val="0"/>
              <w:adjustRightInd/>
              <w:snapToGrid/>
              <w:ind w:left="21" w:leftChars="10" w:right="21" w:rightChars="10" w:firstLine="0"/>
              <w:textAlignment w:val="auto"/>
              <w:rPr>
                <w:rFonts w:hint="eastAsia" w:ascii="宋体" w:hAnsi="宋体" w:eastAsia="宋体" w:cs="宋体"/>
                <w:sz w:val="24"/>
                <w:szCs w:val="24"/>
                <w:highlight w:val="none"/>
              </w:rPr>
            </w:pPr>
          </w:p>
        </w:tc>
        <w:tc>
          <w:tcPr>
            <w:tcW w:w="4719" w:type="dxa"/>
            <w:gridSpan w:val="2"/>
            <w:shd w:val="clear" w:color="auto" w:fill="auto"/>
            <w:vAlign w:val="center"/>
          </w:tcPr>
          <w:p w14:paraId="3704B0FF">
            <w:pPr>
              <w:keepNext w:val="0"/>
              <w:keepLines w:val="0"/>
              <w:pageBreakBefore w:val="0"/>
              <w:widowControl w:val="0"/>
              <w:kinsoku/>
              <w:wordWrap/>
              <w:overflowPunct/>
              <w:topLinePunct w:val="0"/>
              <w:autoSpaceDE/>
              <w:autoSpaceDN/>
              <w:bidi w:val="0"/>
              <w:adjustRightInd/>
              <w:snapToGrid/>
              <w:ind w:left="21" w:leftChars="10" w:right="21" w:rightChars="10" w:firstLine="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必须具备进行停车场管理运营及收费的资质</w:t>
            </w:r>
            <w:r>
              <w:rPr>
                <w:rFonts w:hint="eastAsia" w:ascii="宋体" w:hAnsi="宋体" w:eastAsia="宋体" w:cs="宋体"/>
                <w:sz w:val="24"/>
                <w:szCs w:val="24"/>
                <w:highlight w:val="none"/>
              </w:rPr>
              <w:t>，</w:t>
            </w:r>
            <w:r>
              <w:rPr>
                <w:rFonts w:hint="eastAsia" w:ascii="宋体" w:hAnsi="宋体" w:eastAsia="宋体" w:cs="宋体"/>
                <w:sz w:val="24"/>
                <w:szCs w:val="24"/>
                <w:highlight w:val="none"/>
                <w:lang w:val="en-US" w:eastAsia="zh-CN"/>
              </w:rPr>
              <w:t>且办理相关许可证及备案手续，</w:t>
            </w:r>
            <w:r>
              <w:rPr>
                <w:rFonts w:hint="eastAsia" w:ascii="宋体" w:hAnsi="宋体" w:eastAsia="宋体" w:cs="宋体"/>
                <w:sz w:val="24"/>
                <w:szCs w:val="24"/>
                <w:highlight w:val="none"/>
              </w:rPr>
              <w:t>按税收管理制度</w:t>
            </w:r>
            <w:r>
              <w:rPr>
                <w:rFonts w:hint="eastAsia" w:ascii="宋体" w:hAnsi="宋体" w:eastAsia="宋体" w:cs="宋体"/>
                <w:sz w:val="24"/>
                <w:szCs w:val="24"/>
                <w:highlight w:val="none"/>
                <w:lang w:val="en-US" w:eastAsia="zh-CN"/>
              </w:rPr>
              <w:t>开具</w:t>
            </w:r>
            <w:r>
              <w:rPr>
                <w:rFonts w:hint="eastAsia" w:ascii="宋体" w:hAnsi="宋体" w:eastAsia="宋体" w:cs="宋体"/>
                <w:sz w:val="24"/>
                <w:szCs w:val="24"/>
                <w:highlight w:val="none"/>
              </w:rPr>
              <w:t>发票。不得使用假票和涂改及与单位不相符的票</w:t>
            </w:r>
            <w:r>
              <w:rPr>
                <w:rFonts w:hint="eastAsia" w:ascii="宋体" w:hAnsi="宋体" w:eastAsia="宋体" w:cs="宋体"/>
                <w:sz w:val="24"/>
                <w:szCs w:val="24"/>
                <w:highlight w:val="none"/>
                <w:lang w:val="en-US" w:eastAsia="zh-CN"/>
              </w:rPr>
              <w:t>证</w:t>
            </w:r>
            <w:r>
              <w:rPr>
                <w:rFonts w:hint="eastAsia" w:ascii="宋体" w:hAnsi="宋体" w:eastAsia="宋体" w:cs="宋体"/>
                <w:sz w:val="24"/>
                <w:szCs w:val="24"/>
                <w:highlight w:val="none"/>
              </w:rPr>
              <w:t>，不得伪造有关证照和票据。</w:t>
            </w:r>
          </w:p>
        </w:tc>
        <w:tc>
          <w:tcPr>
            <w:tcW w:w="2813" w:type="dxa"/>
            <w:shd w:val="clear" w:color="auto" w:fill="auto"/>
            <w:vAlign w:val="center"/>
          </w:tcPr>
          <w:p w14:paraId="183D2AAB">
            <w:pPr>
              <w:keepNext w:val="0"/>
              <w:keepLines w:val="0"/>
              <w:pageBreakBefore w:val="0"/>
              <w:widowControl w:val="0"/>
              <w:kinsoku/>
              <w:wordWrap/>
              <w:overflowPunct/>
              <w:topLinePunct w:val="0"/>
              <w:autoSpaceDE/>
              <w:autoSpaceDN/>
              <w:bidi w:val="0"/>
              <w:adjustRightInd/>
              <w:snapToGrid/>
              <w:ind w:left="21" w:leftChars="10" w:right="21" w:rightChars="10" w:firstLine="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发生</w:t>
            </w:r>
            <w:r>
              <w:rPr>
                <w:rFonts w:hint="eastAsia" w:ascii="宋体" w:hAnsi="宋体" w:eastAsia="宋体" w:cs="宋体"/>
                <w:sz w:val="24"/>
                <w:szCs w:val="24"/>
                <w:highlight w:val="none"/>
              </w:rPr>
              <w:t>一次扣3分。</w:t>
            </w:r>
          </w:p>
        </w:tc>
        <w:tc>
          <w:tcPr>
            <w:tcW w:w="1214" w:type="dxa"/>
            <w:vMerge w:val="continue"/>
            <w:shd w:val="clear" w:color="auto" w:fill="auto"/>
            <w:vAlign w:val="center"/>
          </w:tcPr>
          <w:p w14:paraId="4BC19738">
            <w:pPr>
              <w:rPr>
                <w:rFonts w:hint="eastAsia" w:ascii="宋体" w:hAnsi="宋体" w:eastAsia="宋体" w:cs="宋体"/>
                <w:sz w:val="24"/>
                <w:szCs w:val="24"/>
                <w:highlight w:val="none"/>
              </w:rPr>
            </w:pPr>
          </w:p>
        </w:tc>
      </w:tr>
      <w:tr w14:paraId="3246CD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 w:type="dxa"/>
            <w:bottom w:w="0" w:type="dxa"/>
            <w:right w:w="10" w:type="dxa"/>
          </w:tblCellMar>
        </w:tblPrEx>
        <w:trPr>
          <w:trHeight w:val="653" w:hRule="exact"/>
        </w:trPr>
        <w:tc>
          <w:tcPr>
            <w:tcW w:w="643" w:type="dxa"/>
            <w:vMerge w:val="continue"/>
            <w:shd w:val="clear" w:color="auto" w:fill="auto"/>
            <w:vAlign w:val="center"/>
          </w:tcPr>
          <w:p w14:paraId="69AFD43A">
            <w:pPr>
              <w:keepNext w:val="0"/>
              <w:keepLines w:val="0"/>
              <w:pageBreakBefore w:val="0"/>
              <w:widowControl w:val="0"/>
              <w:kinsoku/>
              <w:wordWrap/>
              <w:overflowPunct/>
              <w:topLinePunct w:val="0"/>
              <w:autoSpaceDE/>
              <w:autoSpaceDN/>
              <w:bidi w:val="0"/>
              <w:adjustRightInd/>
              <w:snapToGrid/>
              <w:ind w:left="21" w:leftChars="10" w:right="21" w:rightChars="10" w:firstLine="0"/>
              <w:textAlignment w:val="auto"/>
              <w:rPr>
                <w:rFonts w:hint="eastAsia" w:ascii="宋体" w:hAnsi="宋体" w:eastAsia="宋体" w:cs="宋体"/>
                <w:sz w:val="24"/>
                <w:szCs w:val="24"/>
                <w:highlight w:val="none"/>
              </w:rPr>
            </w:pPr>
          </w:p>
        </w:tc>
        <w:tc>
          <w:tcPr>
            <w:tcW w:w="4719" w:type="dxa"/>
            <w:gridSpan w:val="2"/>
            <w:shd w:val="clear" w:color="auto" w:fill="auto"/>
            <w:vAlign w:val="bottom"/>
          </w:tcPr>
          <w:p w14:paraId="1A2DFFF8">
            <w:pPr>
              <w:keepNext w:val="0"/>
              <w:keepLines w:val="0"/>
              <w:pageBreakBefore w:val="0"/>
              <w:widowControl w:val="0"/>
              <w:kinsoku/>
              <w:wordWrap/>
              <w:overflowPunct/>
              <w:topLinePunct w:val="0"/>
              <w:autoSpaceDE/>
              <w:autoSpaceDN/>
              <w:bidi w:val="0"/>
              <w:adjustRightInd/>
              <w:snapToGrid/>
              <w:ind w:left="21" w:leftChars="10" w:right="21" w:rightChars="10" w:firstLine="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因设备或管理原因</w:t>
            </w:r>
            <w:r>
              <w:rPr>
                <w:rFonts w:hint="eastAsia" w:ascii="宋体" w:hAnsi="宋体" w:eastAsia="宋体" w:cs="宋体"/>
                <w:sz w:val="24"/>
                <w:szCs w:val="24"/>
                <w:highlight w:val="none"/>
              </w:rPr>
              <w:t>导致</w:t>
            </w:r>
            <w:r>
              <w:rPr>
                <w:rFonts w:hint="eastAsia" w:ascii="宋体" w:hAnsi="宋体" w:eastAsia="宋体" w:cs="宋体"/>
                <w:sz w:val="24"/>
                <w:szCs w:val="24"/>
                <w:highlight w:val="none"/>
                <w:lang w:val="en-US" w:eastAsia="zh-CN"/>
              </w:rPr>
              <w:t>停放</w:t>
            </w:r>
            <w:r>
              <w:rPr>
                <w:rFonts w:hint="eastAsia" w:ascii="宋体" w:hAnsi="宋体" w:eastAsia="宋体" w:cs="宋体"/>
                <w:sz w:val="24"/>
                <w:szCs w:val="24"/>
                <w:highlight w:val="none"/>
              </w:rPr>
              <w:t>车辆损坏</w:t>
            </w:r>
            <w:r>
              <w:rPr>
                <w:rFonts w:hint="eastAsia" w:ascii="宋体" w:hAnsi="宋体" w:eastAsia="宋体" w:cs="宋体"/>
                <w:sz w:val="24"/>
                <w:szCs w:val="24"/>
                <w:highlight w:val="none"/>
                <w:lang w:val="en-US" w:eastAsia="zh-CN"/>
              </w:rPr>
              <w:t>的</w:t>
            </w:r>
            <w:r>
              <w:rPr>
                <w:rFonts w:hint="eastAsia" w:ascii="宋体" w:hAnsi="宋体" w:eastAsia="宋体" w:cs="宋体"/>
                <w:sz w:val="24"/>
                <w:szCs w:val="24"/>
                <w:highlight w:val="none"/>
              </w:rPr>
              <w:t>，</w:t>
            </w:r>
            <w:r>
              <w:rPr>
                <w:rFonts w:hint="eastAsia" w:ascii="宋体" w:hAnsi="宋体" w:eastAsia="宋体" w:cs="宋体"/>
                <w:sz w:val="24"/>
                <w:szCs w:val="24"/>
                <w:highlight w:val="none"/>
                <w:lang w:val="en-US" w:eastAsia="zh-CN"/>
              </w:rPr>
              <w:t>需</w:t>
            </w:r>
            <w:r>
              <w:rPr>
                <w:rFonts w:hint="eastAsia" w:ascii="宋体" w:hAnsi="宋体" w:eastAsia="宋体" w:cs="宋体"/>
                <w:sz w:val="24"/>
                <w:szCs w:val="24"/>
                <w:highlight w:val="none"/>
              </w:rPr>
              <w:t>5分钟内</w:t>
            </w:r>
            <w:r>
              <w:rPr>
                <w:rFonts w:hint="eastAsia" w:ascii="宋体" w:hAnsi="宋体" w:eastAsia="宋体" w:cs="宋体"/>
                <w:sz w:val="24"/>
                <w:szCs w:val="24"/>
                <w:highlight w:val="none"/>
                <w:lang w:val="en-US" w:eastAsia="zh-CN"/>
              </w:rPr>
              <w:t>到场</w:t>
            </w:r>
            <w:r>
              <w:rPr>
                <w:rFonts w:hint="eastAsia" w:ascii="宋体" w:hAnsi="宋体" w:eastAsia="宋体" w:cs="宋体"/>
                <w:sz w:val="24"/>
                <w:szCs w:val="24"/>
                <w:highlight w:val="none"/>
              </w:rPr>
              <w:t>处理</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lang w:val="en-US" w:eastAsia="zh-CN"/>
              </w:rPr>
              <w:t>且</w:t>
            </w:r>
            <w:r>
              <w:rPr>
                <w:rFonts w:hint="eastAsia" w:ascii="宋体" w:hAnsi="宋体" w:eastAsia="宋体" w:cs="宋体"/>
                <w:sz w:val="24"/>
                <w:szCs w:val="24"/>
                <w:highlight w:val="none"/>
              </w:rPr>
              <w:t>有效</w:t>
            </w:r>
            <w:r>
              <w:rPr>
                <w:rFonts w:hint="eastAsia" w:ascii="宋体" w:hAnsi="宋体" w:eastAsia="宋体" w:cs="宋体"/>
                <w:sz w:val="24"/>
                <w:szCs w:val="24"/>
                <w:highlight w:val="none"/>
                <w:lang w:val="en-US" w:eastAsia="zh-CN"/>
              </w:rPr>
              <w:t>化</w:t>
            </w:r>
            <w:r>
              <w:rPr>
                <w:rFonts w:hint="eastAsia" w:ascii="宋体" w:hAnsi="宋体" w:eastAsia="宋体" w:cs="宋体"/>
                <w:sz w:val="24"/>
                <w:szCs w:val="24"/>
                <w:highlight w:val="none"/>
              </w:rPr>
              <w:t>解。</w:t>
            </w:r>
          </w:p>
        </w:tc>
        <w:tc>
          <w:tcPr>
            <w:tcW w:w="2813" w:type="dxa"/>
            <w:shd w:val="clear" w:color="auto" w:fill="auto"/>
            <w:vAlign w:val="center"/>
          </w:tcPr>
          <w:p w14:paraId="3E68CB7C">
            <w:pPr>
              <w:keepNext w:val="0"/>
              <w:keepLines w:val="0"/>
              <w:pageBreakBefore w:val="0"/>
              <w:widowControl w:val="0"/>
              <w:kinsoku/>
              <w:wordWrap/>
              <w:overflowPunct/>
              <w:topLinePunct w:val="0"/>
              <w:autoSpaceDE/>
              <w:autoSpaceDN/>
              <w:bidi w:val="0"/>
              <w:adjustRightInd/>
              <w:snapToGrid/>
              <w:ind w:left="21" w:leftChars="10" w:right="21" w:rightChars="10" w:firstLine="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违反</w:t>
            </w:r>
            <w:r>
              <w:rPr>
                <w:rFonts w:hint="eastAsia" w:ascii="宋体" w:hAnsi="宋体" w:eastAsia="宋体" w:cs="宋体"/>
                <w:sz w:val="24"/>
                <w:szCs w:val="24"/>
                <w:highlight w:val="none"/>
              </w:rPr>
              <w:t>一次1分。</w:t>
            </w:r>
          </w:p>
        </w:tc>
        <w:tc>
          <w:tcPr>
            <w:tcW w:w="1214" w:type="dxa"/>
            <w:vMerge w:val="continue"/>
            <w:shd w:val="clear" w:color="auto" w:fill="auto"/>
            <w:vAlign w:val="center"/>
          </w:tcPr>
          <w:p w14:paraId="1C1C8422">
            <w:pPr>
              <w:rPr>
                <w:rFonts w:hint="eastAsia" w:ascii="宋体" w:hAnsi="宋体" w:eastAsia="宋体" w:cs="宋体"/>
                <w:sz w:val="24"/>
                <w:szCs w:val="24"/>
                <w:highlight w:val="none"/>
              </w:rPr>
            </w:pPr>
          </w:p>
        </w:tc>
      </w:tr>
      <w:tr w14:paraId="5A3A21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 w:type="dxa"/>
            <w:bottom w:w="0" w:type="dxa"/>
            <w:right w:w="10" w:type="dxa"/>
          </w:tblCellMar>
        </w:tblPrEx>
        <w:trPr>
          <w:trHeight w:val="1570" w:hRule="exact"/>
        </w:trPr>
        <w:tc>
          <w:tcPr>
            <w:tcW w:w="643" w:type="dxa"/>
            <w:vMerge w:val="continue"/>
            <w:shd w:val="clear" w:color="auto" w:fill="auto"/>
            <w:vAlign w:val="center"/>
          </w:tcPr>
          <w:p w14:paraId="13DB3BAB">
            <w:pPr>
              <w:keepNext w:val="0"/>
              <w:keepLines w:val="0"/>
              <w:pageBreakBefore w:val="0"/>
              <w:widowControl w:val="0"/>
              <w:kinsoku/>
              <w:wordWrap/>
              <w:overflowPunct/>
              <w:topLinePunct w:val="0"/>
              <w:autoSpaceDE/>
              <w:autoSpaceDN/>
              <w:bidi w:val="0"/>
              <w:adjustRightInd/>
              <w:snapToGrid/>
              <w:ind w:left="21" w:leftChars="10" w:right="21" w:rightChars="10" w:firstLine="0"/>
              <w:textAlignment w:val="auto"/>
              <w:rPr>
                <w:rFonts w:hint="eastAsia" w:ascii="宋体" w:hAnsi="宋体" w:eastAsia="宋体" w:cs="宋体"/>
                <w:sz w:val="24"/>
                <w:szCs w:val="24"/>
                <w:highlight w:val="none"/>
              </w:rPr>
            </w:pPr>
          </w:p>
        </w:tc>
        <w:tc>
          <w:tcPr>
            <w:tcW w:w="4719" w:type="dxa"/>
            <w:gridSpan w:val="2"/>
            <w:shd w:val="clear" w:color="auto" w:fill="auto"/>
            <w:vAlign w:val="center"/>
          </w:tcPr>
          <w:p w14:paraId="72BDE46B">
            <w:pPr>
              <w:keepNext w:val="0"/>
              <w:keepLines w:val="0"/>
              <w:pageBreakBefore w:val="0"/>
              <w:widowControl w:val="0"/>
              <w:kinsoku/>
              <w:wordWrap/>
              <w:overflowPunct/>
              <w:topLinePunct w:val="0"/>
              <w:autoSpaceDE/>
              <w:autoSpaceDN/>
              <w:bidi w:val="0"/>
              <w:adjustRightInd/>
              <w:snapToGrid/>
              <w:ind w:left="21" w:leftChars="10" w:right="21" w:rightChars="10" w:firstLine="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若有建</w:t>
            </w:r>
            <w:r>
              <w:rPr>
                <w:rFonts w:hint="eastAsia" w:ascii="宋体" w:hAnsi="宋体" w:eastAsia="宋体" w:cs="宋体"/>
                <w:sz w:val="24"/>
                <w:szCs w:val="24"/>
                <w:highlight w:val="none"/>
              </w:rPr>
              <w:t>筑</w:t>
            </w:r>
            <w:r>
              <w:rPr>
                <w:rFonts w:hint="eastAsia" w:ascii="宋体" w:hAnsi="宋体" w:eastAsia="宋体" w:cs="宋体"/>
                <w:sz w:val="24"/>
                <w:szCs w:val="24"/>
                <w:highlight w:val="none"/>
                <w:lang w:val="en-US" w:eastAsia="zh-CN"/>
              </w:rPr>
              <w:t>杂物</w:t>
            </w:r>
            <w:r>
              <w:rPr>
                <w:rFonts w:hint="eastAsia" w:ascii="宋体" w:hAnsi="宋体" w:eastAsia="宋体" w:cs="宋体"/>
                <w:sz w:val="24"/>
                <w:szCs w:val="24"/>
                <w:highlight w:val="none"/>
              </w:rPr>
              <w:t>、乱摆卖摊</w:t>
            </w:r>
            <w:r>
              <w:rPr>
                <w:rFonts w:hint="eastAsia" w:ascii="宋体" w:hAnsi="宋体" w:eastAsia="宋体" w:cs="宋体"/>
                <w:sz w:val="24"/>
                <w:szCs w:val="24"/>
                <w:highlight w:val="none"/>
                <w:lang w:val="en-US" w:eastAsia="zh-CN"/>
              </w:rPr>
              <w:t>档等占用</w:t>
            </w:r>
            <w:r>
              <w:rPr>
                <w:rFonts w:hint="eastAsia" w:ascii="宋体" w:hAnsi="宋体" w:eastAsia="宋体" w:cs="宋体"/>
                <w:sz w:val="24"/>
                <w:szCs w:val="24"/>
                <w:highlight w:val="none"/>
              </w:rPr>
              <w:t>停车位、消防通道、行车通道</w:t>
            </w:r>
            <w:r>
              <w:rPr>
                <w:rFonts w:hint="eastAsia" w:ascii="宋体" w:hAnsi="宋体" w:eastAsia="宋体" w:cs="宋体"/>
                <w:sz w:val="24"/>
                <w:szCs w:val="24"/>
                <w:highlight w:val="none"/>
                <w:lang w:val="en-US" w:eastAsia="zh-CN"/>
              </w:rPr>
              <w:t>等情况的</w:t>
            </w:r>
            <w:r>
              <w:rPr>
                <w:rFonts w:hint="eastAsia" w:ascii="宋体" w:hAnsi="宋体" w:eastAsia="宋体" w:cs="宋体"/>
                <w:sz w:val="24"/>
                <w:szCs w:val="24"/>
                <w:highlight w:val="none"/>
              </w:rPr>
              <w:t>，</w:t>
            </w:r>
            <w:r>
              <w:rPr>
                <w:rFonts w:hint="eastAsia" w:ascii="宋体" w:hAnsi="宋体" w:eastAsia="宋体" w:cs="宋体"/>
                <w:sz w:val="24"/>
                <w:szCs w:val="24"/>
                <w:highlight w:val="none"/>
                <w:lang w:val="en-US" w:eastAsia="zh-CN"/>
              </w:rPr>
              <w:t>需5分钟内到场处理；</w:t>
            </w:r>
            <w:r>
              <w:rPr>
                <w:rFonts w:hint="eastAsia" w:ascii="宋体" w:hAnsi="宋体" w:eastAsia="宋体" w:cs="宋体"/>
                <w:sz w:val="24"/>
                <w:szCs w:val="24"/>
                <w:highlight w:val="none"/>
              </w:rPr>
              <w:t>对</w:t>
            </w:r>
            <w:r>
              <w:rPr>
                <w:rFonts w:hint="eastAsia" w:ascii="宋体" w:hAnsi="宋体" w:eastAsia="宋体" w:cs="宋体"/>
                <w:sz w:val="24"/>
                <w:szCs w:val="24"/>
                <w:highlight w:val="none"/>
                <w:lang w:val="en-US" w:eastAsia="zh-CN"/>
              </w:rPr>
              <w:t>3次以上</w:t>
            </w:r>
            <w:r>
              <w:rPr>
                <w:rFonts w:hint="eastAsia" w:ascii="宋体" w:hAnsi="宋体" w:eastAsia="宋体" w:cs="宋体"/>
                <w:sz w:val="24"/>
                <w:szCs w:val="24"/>
                <w:highlight w:val="none"/>
              </w:rPr>
              <w:t>占用</w:t>
            </w:r>
            <w:r>
              <w:rPr>
                <w:rFonts w:hint="eastAsia" w:ascii="宋体" w:hAnsi="宋体" w:eastAsia="宋体" w:cs="宋体"/>
                <w:sz w:val="24"/>
                <w:szCs w:val="24"/>
                <w:highlight w:val="none"/>
                <w:lang w:val="en-US" w:eastAsia="zh-CN"/>
              </w:rPr>
              <w:t>行车通道</w:t>
            </w:r>
            <w:r>
              <w:rPr>
                <w:rFonts w:hint="eastAsia" w:ascii="宋体" w:hAnsi="宋体" w:eastAsia="宋体" w:cs="宋体"/>
                <w:sz w:val="24"/>
                <w:szCs w:val="24"/>
                <w:highlight w:val="none"/>
              </w:rPr>
              <w:t>、消防通道</w:t>
            </w:r>
            <w:r>
              <w:rPr>
                <w:rFonts w:hint="eastAsia" w:ascii="宋体" w:hAnsi="宋体" w:eastAsia="宋体" w:cs="宋体"/>
                <w:sz w:val="24"/>
                <w:szCs w:val="24"/>
                <w:highlight w:val="none"/>
                <w:lang w:val="en-US" w:eastAsia="zh-CN"/>
              </w:rPr>
              <w:t>等的车辆</w:t>
            </w:r>
            <w:r>
              <w:rPr>
                <w:rFonts w:hint="eastAsia" w:ascii="宋体" w:hAnsi="宋体" w:eastAsia="宋体" w:cs="宋体"/>
                <w:sz w:val="24"/>
                <w:szCs w:val="24"/>
                <w:highlight w:val="none"/>
              </w:rPr>
              <w:t>给予</w:t>
            </w:r>
            <w:r>
              <w:rPr>
                <w:rFonts w:hint="eastAsia" w:ascii="宋体" w:hAnsi="宋体" w:eastAsia="宋体" w:cs="宋体"/>
                <w:sz w:val="24"/>
                <w:szCs w:val="24"/>
                <w:highlight w:val="none"/>
                <w:lang w:val="en-US" w:eastAsia="zh-CN"/>
              </w:rPr>
              <w:t>处理，</w:t>
            </w:r>
            <w:r>
              <w:rPr>
                <w:rFonts w:hint="eastAsia" w:ascii="宋体" w:hAnsi="宋体" w:eastAsia="宋体" w:cs="宋体"/>
                <w:sz w:val="24"/>
                <w:szCs w:val="24"/>
                <w:highlight w:val="none"/>
              </w:rPr>
              <w:t>禁止</w:t>
            </w:r>
            <w:r>
              <w:rPr>
                <w:rFonts w:hint="eastAsia" w:ascii="宋体" w:hAnsi="宋体" w:eastAsia="宋体" w:cs="宋体"/>
                <w:sz w:val="24"/>
                <w:szCs w:val="24"/>
                <w:highlight w:val="none"/>
                <w:lang w:val="en-US" w:eastAsia="zh-CN"/>
              </w:rPr>
              <w:t>该</w:t>
            </w:r>
            <w:r>
              <w:rPr>
                <w:rFonts w:hint="eastAsia" w:ascii="宋体" w:hAnsi="宋体" w:eastAsia="宋体" w:cs="宋体"/>
                <w:sz w:val="24"/>
                <w:szCs w:val="24"/>
                <w:highlight w:val="none"/>
              </w:rPr>
              <w:t>车辆进入村内。</w:t>
            </w:r>
          </w:p>
        </w:tc>
        <w:tc>
          <w:tcPr>
            <w:tcW w:w="2813" w:type="dxa"/>
            <w:shd w:val="clear" w:color="auto" w:fill="auto"/>
            <w:vAlign w:val="center"/>
          </w:tcPr>
          <w:p w14:paraId="4477F25B">
            <w:pPr>
              <w:keepNext w:val="0"/>
              <w:keepLines w:val="0"/>
              <w:pageBreakBefore w:val="0"/>
              <w:widowControl w:val="0"/>
              <w:kinsoku/>
              <w:wordWrap/>
              <w:overflowPunct/>
              <w:topLinePunct w:val="0"/>
              <w:autoSpaceDE/>
              <w:autoSpaceDN/>
              <w:bidi w:val="0"/>
              <w:adjustRightInd/>
              <w:snapToGrid/>
              <w:ind w:left="21" w:leftChars="10" w:right="21" w:rightChars="10" w:firstLine="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未按要求处理</w:t>
            </w:r>
            <w:r>
              <w:rPr>
                <w:rFonts w:hint="eastAsia" w:ascii="宋体" w:hAnsi="宋体" w:eastAsia="宋体" w:cs="宋体"/>
                <w:sz w:val="24"/>
                <w:szCs w:val="24"/>
                <w:highlight w:val="none"/>
              </w:rPr>
              <w:t>一次</w:t>
            </w:r>
            <w:r>
              <w:rPr>
                <w:rFonts w:hint="eastAsia" w:ascii="宋体" w:hAnsi="宋体" w:eastAsia="宋体" w:cs="宋体"/>
                <w:sz w:val="24"/>
                <w:szCs w:val="24"/>
                <w:highlight w:val="none"/>
                <w:lang w:val="en-US" w:eastAsia="zh-CN"/>
              </w:rPr>
              <w:t>扣</w:t>
            </w:r>
            <w:r>
              <w:rPr>
                <w:rFonts w:hint="eastAsia" w:ascii="宋体" w:hAnsi="宋体" w:eastAsia="宋体" w:cs="宋体"/>
                <w:sz w:val="24"/>
                <w:szCs w:val="24"/>
                <w:highlight w:val="none"/>
              </w:rPr>
              <w:t>1分</w:t>
            </w:r>
          </w:p>
        </w:tc>
        <w:tc>
          <w:tcPr>
            <w:tcW w:w="1214" w:type="dxa"/>
            <w:vMerge w:val="continue"/>
            <w:shd w:val="clear" w:color="auto" w:fill="auto"/>
            <w:vAlign w:val="top"/>
          </w:tcPr>
          <w:p w14:paraId="457BC49F">
            <w:pPr>
              <w:widowControl w:val="0"/>
              <w:rPr>
                <w:rFonts w:hint="eastAsia" w:ascii="宋体" w:hAnsi="宋体" w:eastAsia="宋体" w:cs="宋体"/>
                <w:sz w:val="24"/>
                <w:szCs w:val="24"/>
                <w:highlight w:val="none"/>
              </w:rPr>
            </w:pPr>
          </w:p>
        </w:tc>
      </w:tr>
    </w:tbl>
    <w:p w14:paraId="5DD15541">
      <w:pPr>
        <w:pStyle w:val="31"/>
        <w:numPr>
          <w:ilvl w:val="0"/>
          <w:numId w:val="0"/>
        </w:numPr>
        <w:spacing w:line="360" w:lineRule="auto"/>
        <w:ind w:left="479" w:leftChars="228" w:firstLine="62" w:firstLineChars="26"/>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val="en-US" w:eastAsia="zh-CN"/>
        </w:rPr>
        <w:t>备注：</w:t>
      </w:r>
      <w:r>
        <w:rPr>
          <w:rFonts w:hint="eastAsia" w:ascii="宋体" w:hAnsi="宋体" w:eastAsia="宋体" w:cs="宋体"/>
          <w:color w:val="auto"/>
          <w:sz w:val="24"/>
          <w:szCs w:val="24"/>
          <w:highlight w:val="none"/>
        </w:rPr>
        <w:t>每季度考核一次，考核总分为100分，具体考核制度</w:t>
      </w:r>
      <w:r>
        <w:rPr>
          <w:rFonts w:hint="eastAsia" w:ascii="宋体" w:hAnsi="宋体" w:eastAsia="宋体" w:cs="宋体"/>
          <w:color w:val="auto"/>
          <w:sz w:val="24"/>
          <w:szCs w:val="24"/>
          <w:highlight w:val="none"/>
          <w:lang w:val="en-US" w:eastAsia="zh-CN"/>
        </w:rPr>
        <w:t>和</w:t>
      </w:r>
      <w:r>
        <w:rPr>
          <w:rFonts w:hint="eastAsia" w:ascii="宋体" w:hAnsi="宋体" w:eastAsia="宋体" w:cs="宋体"/>
          <w:b/>
          <w:bCs/>
          <w:color w:val="auto"/>
          <w:sz w:val="24"/>
          <w:szCs w:val="24"/>
          <w:highlight w:val="none"/>
          <w:lang w:val="en-US" w:eastAsia="zh-CN"/>
        </w:rPr>
        <w:t>监管惩罚金额</w:t>
      </w:r>
      <w:r>
        <w:rPr>
          <w:rFonts w:hint="eastAsia" w:ascii="宋体" w:hAnsi="宋体" w:eastAsia="宋体" w:cs="宋体"/>
          <w:color w:val="auto"/>
          <w:sz w:val="24"/>
          <w:szCs w:val="24"/>
          <w:highlight w:val="none"/>
        </w:rPr>
        <w:t>如下</w:t>
      </w:r>
      <w:r>
        <w:rPr>
          <w:rFonts w:hint="eastAsia" w:ascii="宋体" w:hAnsi="宋体" w:cs="宋体"/>
          <w:color w:val="auto"/>
          <w:sz w:val="24"/>
          <w:szCs w:val="24"/>
          <w:highlight w:val="none"/>
          <w:lang w:eastAsia="zh-CN"/>
        </w:rPr>
        <w:t>：</w:t>
      </w:r>
    </w:p>
    <w:p w14:paraId="20114528">
      <w:pPr>
        <w:pStyle w:val="31"/>
        <w:numPr>
          <w:ilvl w:val="1"/>
          <w:numId w:val="29"/>
        </w:numPr>
        <w:spacing w:line="360" w:lineRule="auto"/>
        <w:ind w:left="415" w:leftChars="0" w:hanging="415" w:hangingChars="173"/>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若合同签订之日起半年内出现一次考核得分低于80分的为不达标，</w:t>
      </w:r>
      <w:r>
        <w:rPr>
          <w:rFonts w:hint="eastAsia" w:ascii="宋体" w:hAnsi="宋体" w:cs="宋体"/>
          <w:color w:val="auto"/>
          <w:sz w:val="24"/>
          <w:szCs w:val="24"/>
          <w:highlight w:val="none"/>
          <w:lang w:eastAsia="zh-CN"/>
        </w:rPr>
        <w:t>甲方</w:t>
      </w:r>
      <w:r>
        <w:rPr>
          <w:rFonts w:hint="eastAsia" w:ascii="宋体" w:hAnsi="宋体" w:eastAsia="宋体" w:cs="宋体"/>
          <w:color w:val="auto"/>
          <w:sz w:val="24"/>
          <w:szCs w:val="24"/>
          <w:highlight w:val="none"/>
        </w:rPr>
        <w:t>可以单方解除</w:t>
      </w:r>
      <w:r>
        <w:rPr>
          <w:rFonts w:hint="eastAsia" w:ascii="宋体" w:hAnsi="宋体" w:cs="宋体"/>
          <w:color w:val="auto"/>
          <w:sz w:val="24"/>
          <w:szCs w:val="24"/>
          <w:highlight w:val="none"/>
          <w:lang w:eastAsia="zh-CN"/>
        </w:rPr>
        <w:t>合同</w:t>
      </w:r>
      <w:r>
        <w:rPr>
          <w:rFonts w:hint="eastAsia" w:ascii="宋体" w:hAnsi="宋体" w:eastAsia="宋体" w:cs="宋体"/>
          <w:color w:val="auto"/>
          <w:sz w:val="24"/>
          <w:szCs w:val="24"/>
          <w:highlight w:val="none"/>
        </w:rPr>
        <w:t>，并</w:t>
      </w:r>
      <w:r>
        <w:rPr>
          <w:rFonts w:hint="eastAsia" w:ascii="宋体" w:hAnsi="宋体" w:cs="宋体"/>
          <w:color w:val="auto"/>
          <w:sz w:val="24"/>
          <w:szCs w:val="24"/>
          <w:highlight w:val="none"/>
          <w:lang w:eastAsia="zh-CN"/>
        </w:rPr>
        <w:t>不予退还乙方合同履约保证金</w:t>
      </w:r>
      <w:r>
        <w:rPr>
          <w:rFonts w:hint="eastAsia" w:ascii="宋体" w:hAnsi="宋体" w:eastAsia="宋体" w:cs="宋体"/>
          <w:color w:val="auto"/>
          <w:sz w:val="24"/>
          <w:szCs w:val="24"/>
          <w:highlight w:val="none"/>
        </w:rPr>
        <w:t>和不退回已交的服务费，且</w:t>
      </w:r>
      <w:r>
        <w:rPr>
          <w:rFonts w:hint="eastAsia" w:ascii="宋体" w:hAnsi="宋体" w:cs="宋体"/>
          <w:color w:val="auto"/>
          <w:sz w:val="24"/>
          <w:szCs w:val="24"/>
          <w:highlight w:val="none"/>
          <w:lang w:eastAsia="zh-CN"/>
        </w:rPr>
        <w:t>乙方</w:t>
      </w:r>
      <w:r>
        <w:rPr>
          <w:rFonts w:hint="eastAsia" w:ascii="宋体" w:hAnsi="宋体" w:eastAsia="宋体" w:cs="宋体"/>
          <w:color w:val="auto"/>
          <w:sz w:val="24"/>
          <w:szCs w:val="24"/>
          <w:highlight w:val="none"/>
        </w:rPr>
        <w:t>投入建设安装的一切设施设备无偿归</w:t>
      </w:r>
      <w:r>
        <w:rPr>
          <w:rFonts w:hint="eastAsia" w:ascii="宋体" w:hAnsi="宋体" w:cs="宋体"/>
          <w:color w:val="auto"/>
          <w:sz w:val="24"/>
          <w:szCs w:val="24"/>
          <w:highlight w:val="none"/>
          <w:lang w:eastAsia="zh-CN"/>
        </w:rPr>
        <w:t>甲方</w:t>
      </w:r>
      <w:r>
        <w:rPr>
          <w:rFonts w:hint="eastAsia" w:ascii="宋体" w:hAnsi="宋体" w:eastAsia="宋体" w:cs="宋体"/>
          <w:color w:val="auto"/>
          <w:sz w:val="24"/>
          <w:szCs w:val="24"/>
          <w:highlight w:val="none"/>
        </w:rPr>
        <w:t>所有。</w:t>
      </w:r>
    </w:p>
    <w:p w14:paraId="5B4FF64D">
      <w:pPr>
        <w:pStyle w:val="31"/>
        <w:numPr>
          <w:ilvl w:val="1"/>
          <w:numId w:val="29"/>
        </w:numPr>
        <w:spacing w:line="360" w:lineRule="auto"/>
        <w:ind w:left="415" w:leftChars="0" w:hanging="415" w:hangingChars="173"/>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若当年有2个或以上季度考核得分低于80分，</w:t>
      </w:r>
      <w:r>
        <w:rPr>
          <w:rFonts w:hint="eastAsia" w:ascii="宋体" w:hAnsi="宋体" w:cs="宋体"/>
          <w:color w:val="auto"/>
          <w:sz w:val="24"/>
          <w:szCs w:val="24"/>
          <w:highlight w:val="none"/>
          <w:lang w:eastAsia="zh-CN"/>
        </w:rPr>
        <w:t>乙方</w:t>
      </w:r>
      <w:r>
        <w:rPr>
          <w:rFonts w:hint="eastAsia" w:ascii="宋体" w:hAnsi="宋体" w:eastAsia="宋体" w:cs="宋体"/>
          <w:color w:val="auto"/>
          <w:sz w:val="24"/>
          <w:szCs w:val="24"/>
          <w:highlight w:val="none"/>
        </w:rPr>
        <w:t>可以单方解除</w:t>
      </w:r>
      <w:r>
        <w:rPr>
          <w:rFonts w:hint="eastAsia" w:ascii="宋体" w:hAnsi="宋体" w:cs="宋体"/>
          <w:color w:val="auto"/>
          <w:sz w:val="24"/>
          <w:szCs w:val="24"/>
          <w:highlight w:val="none"/>
          <w:lang w:eastAsia="zh-CN"/>
        </w:rPr>
        <w:t>合同</w:t>
      </w:r>
      <w:r>
        <w:rPr>
          <w:rFonts w:hint="eastAsia" w:ascii="宋体" w:hAnsi="宋体" w:eastAsia="宋体" w:cs="宋体"/>
          <w:color w:val="auto"/>
          <w:sz w:val="24"/>
          <w:szCs w:val="24"/>
          <w:highlight w:val="none"/>
        </w:rPr>
        <w:t>，并</w:t>
      </w:r>
      <w:r>
        <w:rPr>
          <w:rFonts w:hint="eastAsia" w:ascii="宋体" w:hAnsi="宋体" w:cs="宋体"/>
          <w:color w:val="auto"/>
          <w:sz w:val="24"/>
          <w:szCs w:val="24"/>
          <w:highlight w:val="none"/>
          <w:lang w:eastAsia="zh-CN"/>
        </w:rPr>
        <w:t>不予退还乙方合同履约保证金</w:t>
      </w:r>
      <w:r>
        <w:rPr>
          <w:rFonts w:hint="eastAsia" w:ascii="宋体" w:hAnsi="宋体" w:eastAsia="宋体" w:cs="宋体"/>
          <w:color w:val="auto"/>
          <w:sz w:val="24"/>
          <w:szCs w:val="24"/>
          <w:highlight w:val="none"/>
        </w:rPr>
        <w:t>和不退回已交的服务费，且</w:t>
      </w:r>
      <w:r>
        <w:rPr>
          <w:rFonts w:hint="eastAsia" w:ascii="宋体" w:hAnsi="宋体" w:cs="宋体"/>
          <w:color w:val="auto"/>
          <w:sz w:val="24"/>
          <w:szCs w:val="24"/>
          <w:highlight w:val="none"/>
          <w:lang w:eastAsia="zh-CN"/>
        </w:rPr>
        <w:t>乙方</w:t>
      </w:r>
      <w:r>
        <w:rPr>
          <w:rFonts w:hint="eastAsia" w:ascii="宋体" w:hAnsi="宋体" w:eastAsia="宋体" w:cs="宋体"/>
          <w:color w:val="auto"/>
          <w:sz w:val="24"/>
          <w:szCs w:val="24"/>
          <w:highlight w:val="none"/>
        </w:rPr>
        <w:t>投入建设安装的一切设施设备无偿归</w:t>
      </w:r>
      <w:r>
        <w:rPr>
          <w:rFonts w:hint="eastAsia" w:ascii="宋体" w:hAnsi="宋体" w:cs="宋体"/>
          <w:color w:val="auto"/>
          <w:sz w:val="24"/>
          <w:szCs w:val="24"/>
          <w:highlight w:val="none"/>
          <w:lang w:eastAsia="zh-CN"/>
        </w:rPr>
        <w:t>甲方</w:t>
      </w:r>
      <w:r>
        <w:rPr>
          <w:rFonts w:hint="eastAsia" w:ascii="宋体" w:hAnsi="宋体" w:eastAsia="宋体" w:cs="宋体"/>
          <w:color w:val="auto"/>
          <w:sz w:val="24"/>
          <w:szCs w:val="24"/>
          <w:highlight w:val="none"/>
        </w:rPr>
        <w:t>所有。</w:t>
      </w:r>
    </w:p>
    <w:p w14:paraId="51280747">
      <w:pPr>
        <w:pStyle w:val="31"/>
        <w:numPr>
          <w:ilvl w:val="1"/>
          <w:numId w:val="29"/>
        </w:numPr>
        <w:spacing w:line="360" w:lineRule="auto"/>
        <w:ind w:left="415" w:leftChars="0" w:hanging="415" w:hangingChars="173"/>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eastAsia="zh-CN"/>
        </w:rPr>
        <w:t>甲方</w:t>
      </w:r>
      <w:r>
        <w:rPr>
          <w:rFonts w:hint="eastAsia" w:ascii="宋体" w:hAnsi="宋体" w:eastAsia="宋体" w:cs="宋体"/>
          <w:color w:val="auto"/>
          <w:sz w:val="24"/>
          <w:szCs w:val="24"/>
          <w:highlight w:val="none"/>
        </w:rPr>
        <w:t>有权监督</w:t>
      </w:r>
      <w:r>
        <w:rPr>
          <w:rFonts w:hint="eastAsia" w:ascii="宋体" w:hAnsi="宋体" w:cs="宋体"/>
          <w:color w:val="auto"/>
          <w:sz w:val="24"/>
          <w:szCs w:val="24"/>
          <w:highlight w:val="none"/>
          <w:lang w:eastAsia="zh-CN"/>
        </w:rPr>
        <w:t>乙方</w:t>
      </w:r>
      <w:r>
        <w:rPr>
          <w:rFonts w:hint="eastAsia" w:ascii="宋体" w:hAnsi="宋体" w:eastAsia="宋体" w:cs="宋体"/>
          <w:color w:val="auto"/>
          <w:sz w:val="24"/>
          <w:szCs w:val="24"/>
          <w:highlight w:val="none"/>
        </w:rPr>
        <w:t>依据双方约定事项进行日常管理：若因服务问题工作人员工作不积极而导致管理不善致道路因乱停放的现象多，产生堵塞而被村民投诉或拍照影相不符合停车要求的，且经由村干部核实为有效投诉的，将由</w:t>
      </w:r>
      <w:r>
        <w:rPr>
          <w:rFonts w:hint="eastAsia" w:ascii="宋体" w:hAnsi="宋体" w:cs="宋体"/>
          <w:color w:val="auto"/>
          <w:sz w:val="24"/>
          <w:szCs w:val="24"/>
          <w:highlight w:val="none"/>
          <w:lang w:eastAsia="zh-CN"/>
        </w:rPr>
        <w:t>甲方</w:t>
      </w:r>
      <w:r>
        <w:rPr>
          <w:rFonts w:hint="eastAsia" w:ascii="宋体" w:hAnsi="宋体" w:eastAsia="宋体" w:cs="宋体"/>
          <w:color w:val="auto"/>
          <w:sz w:val="24"/>
          <w:szCs w:val="24"/>
          <w:highlight w:val="none"/>
        </w:rPr>
        <w:t>对</w:t>
      </w:r>
      <w:r>
        <w:rPr>
          <w:rFonts w:hint="eastAsia" w:ascii="宋体" w:hAnsi="宋体" w:cs="宋体"/>
          <w:color w:val="auto"/>
          <w:sz w:val="24"/>
          <w:szCs w:val="24"/>
          <w:highlight w:val="none"/>
          <w:lang w:eastAsia="zh-CN"/>
        </w:rPr>
        <w:t>乙方</w:t>
      </w:r>
      <w:r>
        <w:rPr>
          <w:rFonts w:hint="eastAsia" w:ascii="宋体" w:hAnsi="宋体" w:eastAsia="宋体" w:cs="宋体"/>
          <w:color w:val="auto"/>
          <w:sz w:val="24"/>
          <w:szCs w:val="24"/>
          <w:highlight w:val="none"/>
        </w:rPr>
        <w:t>进行金额惩罚，惩罚金额200元或以上（按月不超3次方可实行）最终解释权归</w:t>
      </w:r>
      <w:r>
        <w:rPr>
          <w:rFonts w:hint="eastAsia" w:ascii="宋体" w:hAnsi="宋体" w:cs="宋体"/>
          <w:color w:val="auto"/>
          <w:sz w:val="24"/>
          <w:szCs w:val="24"/>
          <w:highlight w:val="none"/>
          <w:lang w:eastAsia="zh-CN"/>
        </w:rPr>
        <w:t>甲方</w:t>
      </w:r>
      <w:r>
        <w:rPr>
          <w:rFonts w:hint="eastAsia" w:ascii="宋体" w:hAnsi="宋体" w:eastAsia="宋体" w:cs="宋体"/>
          <w:color w:val="auto"/>
          <w:sz w:val="24"/>
          <w:szCs w:val="24"/>
          <w:highlight w:val="none"/>
        </w:rPr>
        <w:t>。</w:t>
      </w:r>
    </w:p>
    <w:p w14:paraId="497637C2">
      <w:pPr>
        <w:pStyle w:val="31"/>
        <w:numPr>
          <w:ilvl w:val="1"/>
          <w:numId w:val="29"/>
        </w:numPr>
        <w:spacing w:line="360" w:lineRule="auto"/>
        <w:ind w:left="415" w:leftChars="0" w:hanging="415" w:hangingChars="173"/>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eastAsia="zh-CN"/>
        </w:rPr>
        <w:t>甲方</w:t>
      </w:r>
      <w:r>
        <w:rPr>
          <w:rFonts w:hint="eastAsia" w:ascii="宋体" w:hAnsi="宋体" w:eastAsia="宋体" w:cs="宋体"/>
          <w:color w:val="auto"/>
          <w:sz w:val="24"/>
          <w:szCs w:val="24"/>
          <w:highlight w:val="none"/>
        </w:rPr>
        <w:t>可对</w:t>
      </w:r>
      <w:r>
        <w:rPr>
          <w:rFonts w:hint="eastAsia" w:ascii="宋体" w:hAnsi="宋体" w:cs="宋体"/>
          <w:color w:val="auto"/>
          <w:sz w:val="24"/>
          <w:szCs w:val="24"/>
          <w:highlight w:val="none"/>
          <w:lang w:eastAsia="zh-CN"/>
        </w:rPr>
        <w:t>乙方</w:t>
      </w:r>
      <w:r>
        <w:rPr>
          <w:rFonts w:hint="eastAsia" w:ascii="宋体" w:hAnsi="宋体" w:eastAsia="宋体" w:cs="宋体"/>
          <w:color w:val="auto"/>
          <w:sz w:val="24"/>
          <w:szCs w:val="24"/>
          <w:highlight w:val="none"/>
        </w:rPr>
        <w:t>进行约谈，要求加强巡查整改，如因</w:t>
      </w:r>
      <w:r>
        <w:rPr>
          <w:rFonts w:hint="eastAsia" w:ascii="宋体" w:hAnsi="宋体" w:cs="宋体"/>
          <w:color w:val="auto"/>
          <w:sz w:val="24"/>
          <w:szCs w:val="24"/>
          <w:highlight w:val="none"/>
          <w:lang w:eastAsia="zh-CN"/>
        </w:rPr>
        <w:t>乙方</w:t>
      </w:r>
      <w:r>
        <w:rPr>
          <w:rFonts w:hint="eastAsia" w:ascii="宋体" w:hAnsi="宋体" w:eastAsia="宋体" w:cs="宋体"/>
          <w:color w:val="auto"/>
          <w:sz w:val="24"/>
          <w:szCs w:val="24"/>
          <w:highlight w:val="none"/>
        </w:rPr>
        <w:t>工作人员态度不好导致处事不公而引发纠纷案或投诉案多的，</w:t>
      </w:r>
      <w:r>
        <w:rPr>
          <w:rFonts w:hint="eastAsia" w:ascii="宋体" w:hAnsi="宋体" w:cs="宋体"/>
          <w:color w:val="auto"/>
          <w:sz w:val="24"/>
          <w:szCs w:val="24"/>
          <w:highlight w:val="none"/>
          <w:lang w:eastAsia="zh-CN"/>
        </w:rPr>
        <w:t>甲方</w:t>
      </w:r>
      <w:r>
        <w:rPr>
          <w:rFonts w:hint="eastAsia" w:ascii="宋体" w:hAnsi="宋体" w:eastAsia="宋体" w:cs="宋体"/>
          <w:color w:val="auto"/>
          <w:sz w:val="24"/>
          <w:szCs w:val="24"/>
          <w:highlight w:val="none"/>
        </w:rPr>
        <w:t>有权要求</w:t>
      </w:r>
      <w:r>
        <w:rPr>
          <w:rFonts w:hint="eastAsia" w:ascii="宋体" w:hAnsi="宋体" w:cs="宋体"/>
          <w:color w:val="auto"/>
          <w:sz w:val="24"/>
          <w:szCs w:val="24"/>
          <w:highlight w:val="none"/>
          <w:lang w:eastAsia="zh-CN"/>
        </w:rPr>
        <w:t>乙方</w:t>
      </w:r>
      <w:r>
        <w:rPr>
          <w:rFonts w:hint="eastAsia" w:ascii="宋体" w:hAnsi="宋体" w:eastAsia="宋体" w:cs="宋体"/>
          <w:color w:val="auto"/>
          <w:sz w:val="24"/>
          <w:szCs w:val="24"/>
          <w:highlight w:val="none"/>
        </w:rPr>
        <w:t>在限期内整改并更换人员，如</w:t>
      </w:r>
      <w:r>
        <w:rPr>
          <w:rFonts w:hint="eastAsia" w:ascii="宋体" w:hAnsi="宋体" w:cs="宋体"/>
          <w:color w:val="auto"/>
          <w:sz w:val="24"/>
          <w:szCs w:val="24"/>
          <w:highlight w:val="none"/>
          <w:lang w:eastAsia="zh-CN"/>
        </w:rPr>
        <w:t>乙方</w:t>
      </w:r>
      <w:r>
        <w:rPr>
          <w:rFonts w:hint="eastAsia" w:ascii="宋体" w:hAnsi="宋体" w:eastAsia="宋体" w:cs="宋体"/>
          <w:color w:val="auto"/>
          <w:sz w:val="24"/>
          <w:szCs w:val="24"/>
          <w:highlight w:val="none"/>
        </w:rPr>
        <w:t>限期拒不整改的，视为</w:t>
      </w:r>
      <w:r>
        <w:rPr>
          <w:rFonts w:hint="eastAsia" w:ascii="宋体" w:hAnsi="宋体" w:cs="宋体"/>
          <w:color w:val="auto"/>
          <w:sz w:val="24"/>
          <w:szCs w:val="24"/>
          <w:highlight w:val="none"/>
          <w:lang w:eastAsia="zh-CN"/>
        </w:rPr>
        <w:t>乙方</w:t>
      </w:r>
      <w:r>
        <w:rPr>
          <w:rFonts w:hint="eastAsia" w:ascii="宋体" w:hAnsi="宋体" w:eastAsia="宋体" w:cs="宋体"/>
          <w:color w:val="auto"/>
          <w:sz w:val="24"/>
          <w:szCs w:val="24"/>
          <w:highlight w:val="none"/>
        </w:rPr>
        <w:t>根本违约，</w:t>
      </w:r>
      <w:r>
        <w:rPr>
          <w:rFonts w:hint="eastAsia" w:ascii="宋体" w:hAnsi="宋体" w:cs="宋体"/>
          <w:color w:val="auto"/>
          <w:sz w:val="24"/>
          <w:szCs w:val="24"/>
          <w:highlight w:val="none"/>
          <w:lang w:eastAsia="zh-CN"/>
        </w:rPr>
        <w:t>甲方</w:t>
      </w:r>
      <w:r>
        <w:rPr>
          <w:rFonts w:hint="eastAsia" w:ascii="宋体" w:hAnsi="宋体" w:eastAsia="宋体" w:cs="宋体"/>
          <w:color w:val="auto"/>
          <w:sz w:val="24"/>
          <w:szCs w:val="24"/>
          <w:highlight w:val="none"/>
        </w:rPr>
        <w:t>有权单方面解除合同，</w:t>
      </w:r>
      <w:r>
        <w:rPr>
          <w:rFonts w:hint="eastAsia" w:ascii="宋体" w:hAnsi="宋体" w:cs="宋体"/>
          <w:color w:val="auto"/>
          <w:sz w:val="24"/>
          <w:szCs w:val="24"/>
          <w:highlight w:val="none"/>
          <w:lang w:eastAsia="zh-CN"/>
        </w:rPr>
        <w:t>不予退还合同履约保证金</w:t>
      </w:r>
      <w:r>
        <w:rPr>
          <w:rFonts w:hint="eastAsia" w:ascii="宋体" w:hAnsi="宋体" w:eastAsia="宋体" w:cs="宋体"/>
          <w:color w:val="auto"/>
          <w:sz w:val="24"/>
          <w:szCs w:val="24"/>
          <w:highlight w:val="none"/>
        </w:rPr>
        <w:t>和不退回已交的服务费，</w:t>
      </w:r>
      <w:r>
        <w:rPr>
          <w:rFonts w:hint="eastAsia" w:ascii="宋体" w:hAnsi="宋体" w:cs="宋体"/>
          <w:color w:val="auto"/>
          <w:sz w:val="24"/>
          <w:szCs w:val="24"/>
          <w:highlight w:val="none"/>
          <w:lang w:eastAsia="zh-CN"/>
        </w:rPr>
        <w:t>乙方</w:t>
      </w:r>
      <w:r>
        <w:rPr>
          <w:rFonts w:hint="eastAsia" w:ascii="宋体" w:hAnsi="宋体" w:eastAsia="宋体" w:cs="宋体"/>
          <w:color w:val="auto"/>
          <w:sz w:val="24"/>
          <w:szCs w:val="24"/>
          <w:highlight w:val="none"/>
        </w:rPr>
        <w:t>投入建设安装的一切设施设备无偿归</w:t>
      </w:r>
      <w:r>
        <w:rPr>
          <w:rFonts w:hint="eastAsia" w:ascii="宋体" w:hAnsi="宋体" w:cs="宋体"/>
          <w:color w:val="auto"/>
          <w:sz w:val="24"/>
          <w:szCs w:val="24"/>
          <w:highlight w:val="none"/>
          <w:lang w:eastAsia="zh-CN"/>
        </w:rPr>
        <w:t>甲方</w:t>
      </w:r>
      <w:r>
        <w:rPr>
          <w:rFonts w:hint="eastAsia" w:ascii="宋体" w:hAnsi="宋体" w:eastAsia="宋体" w:cs="宋体"/>
          <w:color w:val="auto"/>
          <w:sz w:val="24"/>
          <w:szCs w:val="24"/>
          <w:highlight w:val="none"/>
        </w:rPr>
        <w:t>所有。</w:t>
      </w:r>
    </w:p>
    <w:p w14:paraId="611DFA97">
      <w:pPr>
        <w:pStyle w:val="31"/>
        <w:numPr>
          <w:ilvl w:val="1"/>
          <w:numId w:val="29"/>
        </w:numPr>
        <w:spacing w:line="360" w:lineRule="auto"/>
        <w:ind w:left="415" w:leftChars="0" w:hanging="415" w:hangingChars="173"/>
        <w:rPr>
          <w:rFonts w:hint="eastAsia" w:ascii="宋体" w:hAnsi="宋体" w:eastAsia="宋体" w:cs="宋体"/>
          <w:color w:val="auto"/>
          <w:sz w:val="24"/>
          <w:szCs w:val="24"/>
          <w:highlight w:val="none"/>
          <w:lang w:val="en-US" w:eastAsia="zh-CN"/>
        </w:rPr>
      </w:pPr>
      <w:r>
        <w:rPr>
          <w:rFonts w:hint="eastAsia" w:ascii="宋体" w:hAnsi="宋体" w:cs="宋体"/>
          <w:color w:val="auto"/>
          <w:sz w:val="24"/>
          <w:szCs w:val="24"/>
          <w:highlight w:val="none"/>
          <w:lang w:eastAsia="zh-CN"/>
        </w:rPr>
        <w:t>甲方</w:t>
      </w:r>
      <w:r>
        <w:rPr>
          <w:rFonts w:hint="eastAsia" w:ascii="宋体" w:hAnsi="宋体" w:eastAsia="宋体" w:cs="宋体"/>
          <w:color w:val="auto"/>
          <w:sz w:val="24"/>
          <w:szCs w:val="24"/>
          <w:highlight w:val="none"/>
        </w:rPr>
        <w:t>有权监督</w:t>
      </w:r>
      <w:r>
        <w:rPr>
          <w:rFonts w:hint="eastAsia" w:ascii="宋体" w:hAnsi="宋体" w:cs="宋体"/>
          <w:color w:val="auto"/>
          <w:sz w:val="24"/>
          <w:szCs w:val="24"/>
          <w:highlight w:val="none"/>
          <w:lang w:eastAsia="zh-CN"/>
        </w:rPr>
        <w:t>乙方</w:t>
      </w:r>
      <w:r>
        <w:rPr>
          <w:rFonts w:hint="eastAsia" w:ascii="宋体" w:hAnsi="宋体" w:eastAsia="宋体" w:cs="宋体"/>
          <w:color w:val="auto"/>
          <w:sz w:val="24"/>
          <w:szCs w:val="24"/>
          <w:highlight w:val="none"/>
        </w:rPr>
        <w:t>依据双方约定事项进行日常管理</w:t>
      </w:r>
      <w:r>
        <w:rPr>
          <w:rStyle w:val="38"/>
          <w:rFonts w:hint="eastAsia" w:ascii="宋体" w:hAnsi="宋体" w:eastAsia="宋体" w:cs="宋体"/>
          <w:b w:val="0"/>
          <w:color w:val="auto"/>
          <w:sz w:val="24"/>
          <w:szCs w:val="24"/>
          <w:highlight w:val="none"/>
        </w:rPr>
        <w:t>。</w:t>
      </w:r>
    </w:p>
    <w:p w14:paraId="4D40AE79">
      <w:pPr>
        <w:pStyle w:val="36"/>
        <w:numPr>
          <w:ilvl w:val="0"/>
          <w:numId w:val="28"/>
        </w:numPr>
        <w:spacing w:before="240" w:beforeLines="100" w:after="120" w:afterLines="50" w:line="240" w:lineRule="auto"/>
        <w:ind w:left="624" w:leftChars="0" w:hanging="624" w:firstLineChars="0"/>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关键合同条款一览表</w:t>
      </w:r>
    </w:p>
    <w:tbl>
      <w:tblPr>
        <w:tblStyle w:val="20"/>
        <w:tblW w:w="9393" w:type="dxa"/>
        <w:tblInd w:w="-8" w:type="dxa"/>
        <w:tblBorders>
          <w:top w:val="outset" w:color="auto" w:sz="12" w:space="0"/>
          <w:left w:val="outset" w:color="auto" w:sz="12" w:space="0"/>
          <w:bottom w:val="outset" w:color="auto" w:sz="12" w:space="0"/>
          <w:right w:val="outset" w:color="auto" w:sz="12" w:space="0"/>
          <w:insideH w:val="none" w:color="auto" w:sz="0" w:space="0"/>
          <w:insideV w:val="none" w:color="auto" w:sz="0" w:space="0"/>
        </w:tblBorders>
        <w:tblLayout w:type="fixed"/>
        <w:tblCellMar>
          <w:top w:w="0" w:type="dxa"/>
          <w:left w:w="0" w:type="dxa"/>
          <w:bottom w:w="0" w:type="dxa"/>
          <w:right w:w="0" w:type="dxa"/>
        </w:tblCellMar>
      </w:tblPr>
      <w:tblGrid>
        <w:gridCol w:w="721"/>
        <w:gridCol w:w="1776"/>
        <w:gridCol w:w="6896"/>
      </w:tblGrid>
      <w:tr w14:paraId="6310C38E">
        <w:tblPrEx>
          <w:tblBorders>
            <w:top w:val="outset" w:color="auto" w:sz="12" w:space="0"/>
            <w:left w:val="outset" w:color="auto" w:sz="12" w:space="0"/>
            <w:bottom w:val="outset" w:color="auto" w:sz="12" w:space="0"/>
            <w:right w:val="outset" w:color="auto" w:sz="12" w:space="0"/>
            <w:insideH w:val="none" w:color="auto" w:sz="0" w:space="0"/>
            <w:insideV w:val="none" w:color="auto" w:sz="0" w:space="0"/>
          </w:tblBorders>
          <w:tblCellMar>
            <w:top w:w="0" w:type="dxa"/>
            <w:left w:w="0" w:type="dxa"/>
            <w:bottom w:w="0" w:type="dxa"/>
            <w:right w:w="0" w:type="dxa"/>
          </w:tblCellMar>
        </w:tblPrEx>
        <w:tc>
          <w:tcPr>
            <w:tcW w:w="721" w:type="dxa"/>
            <w:tcBorders>
              <w:top w:val="outset" w:color="auto" w:sz="6" w:space="0"/>
              <w:left w:val="outset" w:color="auto" w:sz="6" w:space="0"/>
              <w:bottom w:val="outset" w:color="auto" w:sz="6" w:space="0"/>
              <w:right w:val="outset" w:color="auto" w:sz="6" w:space="0"/>
            </w:tcBorders>
            <w:noWrap w:val="0"/>
            <w:vAlign w:val="center"/>
          </w:tcPr>
          <w:p w14:paraId="7B56BDC6">
            <w:pPr>
              <w:jc w:val="center"/>
              <w:rPr>
                <w:sz w:val="24"/>
                <w:szCs w:val="24"/>
                <w:highlight w:val="none"/>
              </w:rPr>
            </w:pPr>
            <w:r>
              <w:rPr>
                <w:rFonts w:ascii="宋体" w:hAnsi="宋体" w:cs="宋体"/>
                <w:sz w:val="24"/>
                <w:szCs w:val="24"/>
                <w:highlight w:val="none"/>
              </w:rPr>
              <w:t>序号</w:t>
            </w:r>
          </w:p>
        </w:tc>
        <w:tc>
          <w:tcPr>
            <w:tcW w:w="1776" w:type="dxa"/>
            <w:tcBorders>
              <w:top w:val="outset" w:color="auto" w:sz="6" w:space="0"/>
              <w:left w:val="outset" w:color="auto" w:sz="6" w:space="0"/>
              <w:bottom w:val="outset" w:color="auto" w:sz="6" w:space="0"/>
              <w:right w:val="outset" w:color="auto" w:sz="6" w:space="0"/>
            </w:tcBorders>
            <w:noWrap w:val="0"/>
            <w:vAlign w:val="center"/>
          </w:tcPr>
          <w:p w14:paraId="020E6E5A">
            <w:pPr>
              <w:jc w:val="center"/>
              <w:rPr>
                <w:sz w:val="24"/>
                <w:szCs w:val="24"/>
                <w:highlight w:val="none"/>
              </w:rPr>
            </w:pPr>
            <w:r>
              <w:rPr>
                <w:rFonts w:ascii="宋体" w:hAnsi="宋体" w:cs="宋体"/>
                <w:sz w:val="24"/>
                <w:szCs w:val="24"/>
                <w:highlight w:val="none"/>
              </w:rPr>
              <w:t>条款</w:t>
            </w:r>
          </w:p>
        </w:tc>
        <w:tc>
          <w:tcPr>
            <w:tcW w:w="6896" w:type="dxa"/>
            <w:tcBorders>
              <w:top w:val="outset" w:color="auto" w:sz="6" w:space="0"/>
              <w:left w:val="outset" w:color="auto" w:sz="6" w:space="0"/>
              <w:bottom w:val="outset" w:color="auto" w:sz="6" w:space="0"/>
              <w:right w:val="outset" w:color="auto" w:sz="6" w:space="0"/>
            </w:tcBorders>
            <w:noWrap w:val="0"/>
            <w:vAlign w:val="center"/>
          </w:tcPr>
          <w:p w14:paraId="7604436D">
            <w:pPr>
              <w:jc w:val="center"/>
              <w:rPr>
                <w:rFonts w:hint="eastAsia" w:eastAsia="宋体"/>
                <w:sz w:val="24"/>
                <w:szCs w:val="24"/>
                <w:highlight w:val="none"/>
                <w:lang w:eastAsia="zh-CN"/>
              </w:rPr>
            </w:pPr>
            <w:r>
              <w:rPr>
                <w:rFonts w:hint="eastAsia" w:ascii="宋体" w:hAnsi="宋体" w:cs="宋体"/>
                <w:sz w:val="24"/>
                <w:szCs w:val="24"/>
                <w:highlight w:val="none"/>
                <w:lang w:val="en-US" w:eastAsia="zh-CN"/>
              </w:rPr>
              <w:t>内容</w:t>
            </w:r>
          </w:p>
        </w:tc>
      </w:tr>
      <w:tr w14:paraId="3ECE4F17">
        <w:tblPrEx>
          <w:tblBorders>
            <w:top w:val="outset" w:color="auto" w:sz="12" w:space="0"/>
            <w:left w:val="outset" w:color="auto" w:sz="12" w:space="0"/>
            <w:bottom w:val="outset" w:color="auto" w:sz="12" w:space="0"/>
            <w:right w:val="outset" w:color="auto" w:sz="12" w:space="0"/>
            <w:insideH w:val="none" w:color="auto" w:sz="0" w:space="0"/>
            <w:insideV w:val="none" w:color="auto" w:sz="0" w:space="0"/>
          </w:tblBorders>
          <w:tblCellMar>
            <w:top w:w="0" w:type="dxa"/>
            <w:left w:w="0" w:type="dxa"/>
            <w:bottom w:w="0" w:type="dxa"/>
            <w:right w:w="0" w:type="dxa"/>
          </w:tblCellMar>
        </w:tblPrEx>
        <w:trPr>
          <w:trHeight w:val="918" w:hRule="atLeast"/>
        </w:trPr>
        <w:tc>
          <w:tcPr>
            <w:tcW w:w="721" w:type="dxa"/>
            <w:tcBorders>
              <w:top w:val="outset" w:color="auto" w:sz="6" w:space="0"/>
              <w:left w:val="outset" w:color="auto" w:sz="6" w:space="0"/>
              <w:right w:val="outset" w:color="auto" w:sz="6" w:space="0"/>
            </w:tcBorders>
            <w:noWrap w:val="0"/>
            <w:vAlign w:val="center"/>
          </w:tcPr>
          <w:p w14:paraId="3EE8F260">
            <w:pPr>
              <w:numPr>
                <w:ilvl w:val="0"/>
                <w:numId w:val="30"/>
              </w:numPr>
              <w:ind w:left="425" w:leftChars="0" w:hanging="425" w:firstLineChars="0"/>
              <w:jc w:val="right"/>
              <w:rPr>
                <w:rFonts w:hint="eastAsia" w:ascii="宋体" w:hAnsi="宋体" w:eastAsia="宋体" w:cs="宋体"/>
                <w:sz w:val="24"/>
                <w:szCs w:val="24"/>
                <w:highlight w:val="none"/>
              </w:rPr>
            </w:pPr>
          </w:p>
        </w:tc>
        <w:tc>
          <w:tcPr>
            <w:tcW w:w="1776" w:type="dxa"/>
            <w:tcBorders>
              <w:top w:val="outset" w:color="auto" w:sz="6" w:space="0"/>
              <w:left w:val="outset" w:color="auto" w:sz="6" w:space="0"/>
              <w:right w:val="outset" w:color="auto" w:sz="6" w:space="0"/>
            </w:tcBorders>
            <w:noWrap w:val="0"/>
            <w:vAlign w:val="center"/>
          </w:tcPr>
          <w:p w14:paraId="26EB2C7B">
            <w:pPr>
              <w:jc w:val="center"/>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rPr>
              <w:t>合同金额（不含税，税费由乙方另行承担</w:t>
            </w:r>
            <w:r>
              <w:rPr>
                <w:rFonts w:hint="eastAsia" w:ascii="宋体" w:hAnsi="宋体" w:cs="宋体"/>
                <w:sz w:val="24"/>
                <w:szCs w:val="24"/>
                <w:highlight w:val="none"/>
                <w:lang w:eastAsia="zh-CN"/>
              </w:rPr>
              <w:t>）</w:t>
            </w:r>
          </w:p>
        </w:tc>
        <w:tc>
          <w:tcPr>
            <w:tcW w:w="6896" w:type="dxa"/>
            <w:tcBorders>
              <w:top w:val="outset" w:color="auto" w:sz="6" w:space="0"/>
              <w:left w:val="outset" w:color="auto" w:sz="6" w:space="0"/>
              <w:bottom w:val="outset" w:color="auto" w:sz="6" w:space="0"/>
              <w:right w:val="outset" w:color="auto" w:sz="6" w:space="0"/>
            </w:tcBorders>
            <w:noWrap w:val="0"/>
            <w:vAlign w:val="center"/>
          </w:tcPr>
          <w:p w14:paraId="37D89087">
            <w:pPr>
              <w:jc w:val="left"/>
              <w:rPr>
                <w:rFonts w:hint="default" w:ascii="宋体" w:hAnsi="宋体" w:eastAsia="宋体" w:cs="宋体"/>
                <w:sz w:val="24"/>
                <w:szCs w:val="24"/>
                <w:highlight w:val="none"/>
                <w:lang w:val="en-US" w:eastAsia="zh-CN"/>
              </w:rPr>
            </w:pPr>
            <w:r>
              <w:rPr>
                <w:rFonts w:hint="eastAsia" w:ascii="宋体" w:hAnsi="宋体" w:eastAsia="宋体" w:cs="宋体"/>
                <w:sz w:val="24"/>
                <w:szCs w:val="24"/>
                <w:highlight w:val="none"/>
              </w:rPr>
              <w:t>小写：</w:t>
            </w:r>
            <w:r>
              <w:rPr>
                <w:rFonts w:hint="eastAsia" w:ascii="宋体" w:hAnsi="宋体" w:cs="宋体"/>
                <w:sz w:val="24"/>
                <w:szCs w:val="24"/>
                <w:highlight w:val="none"/>
                <w:lang w:val="en-US" w:eastAsia="zh-CN"/>
              </w:rPr>
              <w:t>首年¥</w:t>
            </w:r>
            <w:r>
              <w:rPr>
                <w:rFonts w:hint="eastAsia" w:ascii="宋体" w:hAnsi="宋体" w:cs="宋体"/>
                <w:sz w:val="24"/>
                <w:szCs w:val="24"/>
                <w:highlight w:val="none"/>
                <w:u w:val="single"/>
                <w:lang w:val="en-US" w:eastAsia="zh-CN"/>
              </w:rPr>
              <w:t xml:space="preserve">              </w:t>
            </w:r>
            <w:r>
              <w:rPr>
                <w:rFonts w:hint="eastAsia" w:ascii="宋体" w:hAnsi="宋体" w:cs="宋体"/>
                <w:sz w:val="24"/>
                <w:szCs w:val="24"/>
                <w:highlight w:val="none"/>
                <w:lang w:val="en-US" w:eastAsia="zh-CN"/>
              </w:rPr>
              <w:t>元/年；</w:t>
            </w:r>
          </w:p>
          <w:p w14:paraId="003ACD5A">
            <w:pPr>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大写：</w:t>
            </w:r>
            <w:r>
              <w:rPr>
                <w:rFonts w:hint="eastAsia" w:ascii="宋体" w:hAnsi="宋体" w:cs="宋体"/>
                <w:sz w:val="24"/>
                <w:szCs w:val="24"/>
                <w:highlight w:val="none"/>
                <w:lang w:val="en-US" w:eastAsia="zh-CN"/>
              </w:rPr>
              <w:t>首年人民币</w:t>
            </w:r>
            <w:r>
              <w:rPr>
                <w:rFonts w:hint="eastAsia" w:ascii="宋体" w:hAnsi="宋体" w:cs="宋体"/>
                <w:sz w:val="24"/>
                <w:szCs w:val="24"/>
                <w:highlight w:val="none"/>
                <w:u w:val="single"/>
                <w:lang w:val="en-US" w:eastAsia="zh-CN"/>
              </w:rPr>
              <w:t xml:space="preserve">         </w:t>
            </w:r>
            <w:r>
              <w:rPr>
                <w:rFonts w:hint="eastAsia" w:ascii="宋体" w:hAnsi="宋体" w:cs="宋体"/>
                <w:sz w:val="24"/>
                <w:szCs w:val="24"/>
                <w:highlight w:val="none"/>
                <w:lang w:val="en-US" w:eastAsia="zh-CN"/>
              </w:rPr>
              <w:t>元/年</w:t>
            </w:r>
            <w:r>
              <w:rPr>
                <w:rFonts w:hint="eastAsia" w:ascii="宋体" w:hAnsi="宋体" w:eastAsia="宋体" w:cs="宋体"/>
                <w:sz w:val="24"/>
                <w:szCs w:val="24"/>
                <w:highlight w:val="none"/>
              </w:rPr>
              <w:t>。</w:t>
            </w:r>
          </w:p>
        </w:tc>
      </w:tr>
      <w:tr w14:paraId="2886FD09">
        <w:tblPrEx>
          <w:tblBorders>
            <w:top w:val="outset" w:color="auto" w:sz="12" w:space="0"/>
            <w:left w:val="outset" w:color="auto" w:sz="12" w:space="0"/>
            <w:bottom w:val="outset" w:color="auto" w:sz="12" w:space="0"/>
            <w:right w:val="outset" w:color="auto" w:sz="12" w:space="0"/>
            <w:insideH w:val="none" w:color="auto" w:sz="0" w:space="0"/>
            <w:insideV w:val="none" w:color="auto" w:sz="0" w:space="0"/>
          </w:tblBorders>
          <w:tblCellMar>
            <w:top w:w="0" w:type="dxa"/>
            <w:left w:w="0" w:type="dxa"/>
            <w:bottom w:w="0" w:type="dxa"/>
            <w:right w:w="0" w:type="dxa"/>
          </w:tblCellMar>
        </w:tblPrEx>
        <w:trPr>
          <w:trHeight w:val="313" w:hRule="atLeast"/>
        </w:trPr>
        <w:tc>
          <w:tcPr>
            <w:tcW w:w="721" w:type="dxa"/>
            <w:tcBorders>
              <w:top w:val="outset" w:color="auto" w:sz="6" w:space="0"/>
              <w:left w:val="outset" w:color="auto" w:sz="6" w:space="0"/>
              <w:bottom w:val="outset" w:color="auto" w:sz="6" w:space="0"/>
              <w:right w:val="outset" w:color="auto" w:sz="6" w:space="0"/>
            </w:tcBorders>
            <w:noWrap w:val="0"/>
            <w:vAlign w:val="center"/>
          </w:tcPr>
          <w:p w14:paraId="5C0379C6">
            <w:pPr>
              <w:numPr>
                <w:ilvl w:val="0"/>
                <w:numId w:val="30"/>
              </w:numPr>
              <w:ind w:left="425" w:leftChars="0" w:hanging="425" w:firstLineChars="0"/>
              <w:jc w:val="right"/>
              <w:rPr>
                <w:rFonts w:hint="eastAsia" w:ascii="宋体" w:hAnsi="宋体" w:eastAsia="宋体" w:cs="宋体"/>
                <w:sz w:val="24"/>
                <w:szCs w:val="24"/>
                <w:highlight w:val="none"/>
              </w:rPr>
            </w:pPr>
          </w:p>
        </w:tc>
        <w:tc>
          <w:tcPr>
            <w:tcW w:w="1776" w:type="dxa"/>
            <w:tcBorders>
              <w:top w:val="outset" w:color="auto" w:sz="6" w:space="0"/>
              <w:left w:val="outset" w:color="auto" w:sz="6" w:space="0"/>
              <w:bottom w:val="outset" w:color="auto" w:sz="6" w:space="0"/>
              <w:right w:val="outset" w:color="auto" w:sz="6" w:space="0"/>
            </w:tcBorders>
            <w:noWrap w:val="0"/>
            <w:vAlign w:val="center"/>
          </w:tcPr>
          <w:p w14:paraId="763A85F6">
            <w:pPr>
              <w:keepNext w:val="0"/>
              <w:keepLines w:val="0"/>
              <w:pageBreakBefore w:val="0"/>
              <w:widowControl w:val="0"/>
              <w:kinsoku/>
              <w:wordWrap w:val="0"/>
              <w:overflowPunct/>
              <w:topLinePunct w:val="0"/>
              <w:autoSpaceDE/>
              <w:autoSpaceDN/>
              <w:bidi w:val="0"/>
              <w:adjustRightInd/>
              <w:snapToGrid/>
              <w:ind w:left="415" w:leftChars="0" w:hanging="415" w:hangingChars="173"/>
              <w:jc w:val="center"/>
              <w:textAlignment w:val="auto"/>
              <w:rPr>
                <w:rFonts w:hint="default" w:ascii="宋体" w:hAnsi="宋体" w:eastAsia="宋体" w:cs="宋体"/>
                <w:sz w:val="24"/>
                <w:szCs w:val="24"/>
                <w:highlight w:val="none"/>
                <w:lang w:val="en-US" w:eastAsia="zh-CN"/>
              </w:rPr>
            </w:pPr>
            <w:r>
              <w:rPr>
                <w:rFonts w:hint="eastAsia" w:ascii="宋体" w:hAnsi="宋体" w:eastAsia="宋体" w:cs="宋体"/>
                <w:sz w:val="24"/>
                <w:szCs w:val="24"/>
                <w:highlight w:val="none"/>
              </w:rPr>
              <w:t>报价要求</w:t>
            </w:r>
          </w:p>
        </w:tc>
        <w:tc>
          <w:tcPr>
            <w:tcW w:w="6896" w:type="dxa"/>
            <w:tcBorders>
              <w:top w:val="outset" w:color="auto" w:sz="6" w:space="0"/>
              <w:left w:val="outset" w:color="auto" w:sz="6" w:space="0"/>
              <w:bottom w:val="outset" w:color="auto" w:sz="6" w:space="0"/>
              <w:right w:val="outset" w:color="auto" w:sz="6" w:space="0"/>
            </w:tcBorders>
            <w:noWrap w:val="0"/>
            <w:vAlign w:val="center"/>
          </w:tcPr>
          <w:p w14:paraId="590854F0">
            <w:pPr>
              <w:keepNext w:val="0"/>
              <w:keepLines w:val="0"/>
              <w:pageBreakBefore w:val="0"/>
              <w:widowControl w:val="0"/>
              <w:numPr>
                <w:ilvl w:val="0"/>
                <w:numId w:val="0"/>
              </w:numPr>
              <w:kinsoku/>
              <w:wordWrap w:val="0"/>
              <w:overflowPunct/>
              <w:topLinePunct w:val="0"/>
              <w:autoSpaceDE/>
              <w:autoSpaceDN/>
              <w:bidi w:val="0"/>
              <w:adjustRightInd/>
              <w:snapToGrid/>
              <w:ind w:left="0" w:leftChars="0" w:firstLine="0" w:firstLineChars="0"/>
              <w:jc w:val="left"/>
              <w:textAlignment w:val="auto"/>
              <w:rPr>
                <w:rFonts w:hint="eastAsia" w:ascii="宋体" w:hAnsi="宋体" w:eastAsia="宋体" w:cs="宋体"/>
                <w:sz w:val="24"/>
                <w:szCs w:val="24"/>
                <w:highlight w:val="none"/>
              </w:rPr>
            </w:pPr>
            <w:r>
              <w:rPr>
                <w:rFonts w:hint="default" w:ascii="宋体" w:hAnsi="宋体" w:eastAsia="宋体" w:cs="宋体"/>
                <w:kern w:val="2"/>
                <w:sz w:val="24"/>
                <w:szCs w:val="24"/>
                <w:highlight w:val="none"/>
                <w:lang w:val="en-US" w:eastAsia="zh-CN" w:bidi="ar-SA"/>
              </w:rPr>
              <w:t>1.</w:t>
            </w:r>
            <w:r>
              <w:rPr>
                <w:rFonts w:hint="eastAsia" w:ascii="宋体" w:hAnsi="宋体" w:eastAsia="宋体" w:cs="宋体"/>
                <w:sz w:val="24"/>
                <w:szCs w:val="24"/>
                <w:highlight w:val="none"/>
              </w:rPr>
              <w:t>本项目报价方式为固定总价包干。</w:t>
            </w:r>
            <w:r>
              <w:rPr>
                <w:rFonts w:hint="eastAsia" w:ascii="宋体" w:hAnsi="宋体" w:cs="宋体"/>
                <w:sz w:val="24"/>
                <w:szCs w:val="24"/>
                <w:highlight w:val="none"/>
                <w:lang w:eastAsia="zh-CN"/>
              </w:rPr>
              <w:t>合同金额</w:t>
            </w:r>
            <w:r>
              <w:rPr>
                <w:rFonts w:hint="eastAsia" w:ascii="宋体" w:hAnsi="宋体" w:eastAsia="宋体" w:cs="宋体"/>
                <w:sz w:val="24"/>
                <w:szCs w:val="24"/>
                <w:highlight w:val="none"/>
              </w:rPr>
              <w:t>为</w:t>
            </w:r>
            <w:r>
              <w:rPr>
                <w:rFonts w:hint="eastAsia" w:ascii="宋体" w:hAnsi="宋体" w:cs="宋体"/>
                <w:sz w:val="24"/>
                <w:szCs w:val="24"/>
                <w:highlight w:val="none"/>
                <w:lang w:val="en-US" w:eastAsia="zh-CN"/>
              </w:rPr>
              <w:t>乙方</w:t>
            </w:r>
            <w:r>
              <w:rPr>
                <w:rFonts w:hint="eastAsia" w:ascii="宋体" w:hAnsi="宋体" w:eastAsia="宋体" w:cs="宋体"/>
                <w:sz w:val="24"/>
                <w:szCs w:val="24"/>
                <w:highlight w:val="none"/>
              </w:rPr>
              <w:t>支付给</w:t>
            </w:r>
            <w:r>
              <w:rPr>
                <w:rFonts w:hint="eastAsia" w:ascii="宋体" w:hAnsi="宋体" w:eastAsia="宋体" w:cs="宋体"/>
                <w:sz w:val="24"/>
                <w:szCs w:val="24"/>
                <w:highlight w:val="none"/>
                <w:lang w:val="en-US" w:eastAsia="zh-CN"/>
              </w:rPr>
              <w:t>招标人</w:t>
            </w:r>
            <w:r>
              <w:rPr>
                <w:rFonts w:hint="eastAsia" w:ascii="宋体" w:hAnsi="宋体" w:eastAsia="宋体" w:cs="宋体"/>
                <w:sz w:val="24"/>
                <w:szCs w:val="24"/>
                <w:highlight w:val="none"/>
              </w:rPr>
              <w:t>的</w:t>
            </w:r>
            <w:r>
              <w:rPr>
                <w:rFonts w:hint="eastAsia" w:ascii="宋体" w:hAnsi="宋体" w:eastAsia="宋体" w:cs="宋体"/>
                <w:sz w:val="24"/>
                <w:szCs w:val="24"/>
                <w:highlight w:val="none"/>
                <w:lang w:val="en-US" w:eastAsia="zh-CN"/>
              </w:rPr>
              <w:t>服务</w:t>
            </w:r>
            <w:r>
              <w:rPr>
                <w:rFonts w:hint="eastAsia" w:ascii="宋体" w:hAnsi="宋体" w:eastAsia="宋体" w:cs="宋体"/>
                <w:sz w:val="24"/>
                <w:szCs w:val="24"/>
                <w:highlight w:val="none"/>
              </w:rPr>
              <w:t>费用</w:t>
            </w:r>
            <w:r>
              <w:rPr>
                <w:rFonts w:hint="eastAsia" w:ascii="宋体" w:hAnsi="宋体" w:cs="宋体"/>
                <w:sz w:val="24"/>
                <w:szCs w:val="24"/>
                <w:highlight w:val="none"/>
                <w:lang w:eastAsia="zh-CN"/>
              </w:rPr>
              <w:t>，其中包括但不限于以下：（1）工人工资（福利人工费、劳工意外保险、工伤、医疗、失业、养老保险、其他福利待遇、特殊人员体检费等）；（2）劳保用品、服装费（与本项目相关的一切劳保用品、服装费用等）；（3）培训费（全体人员一切专业培训）；（4）员工的住宿及住宿费用；（5）项目运营、停车管理、软硬件投资建设和维护及服务等所发生的一切费用；（6）提供停车费全额含税发票；（7）合同实施过程中的应预见和不可预见费用；（8）设备设施所产生的一切电费由乙方承担</w:t>
            </w:r>
            <w:r>
              <w:rPr>
                <w:rFonts w:hint="eastAsia" w:ascii="宋体" w:hAnsi="宋体" w:eastAsia="宋体" w:cs="宋体"/>
                <w:sz w:val="24"/>
                <w:szCs w:val="24"/>
                <w:highlight w:val="none"/>
              </w:rPr>
              <w:t>。</w:t>
            </w:r>
          </w:p>
        </w:tc>
      </w:tr>
      <w:tr w14:paraId="61821FA6">
        <w:tblPrEx>
          <w:tblBorders>
            <w:top w:val="outset" w:color="auto" w:sz="12" w:space="0"/>
            <w:left w:val="outset" w:color="auto" w:sz="12" w:space="0"/>
            <w:bottom w:val="outset" w:color="auto" w:sz="12" w:space="0"/>
            <w:right w:val="outset" w:color="auto" w:sz="12" w:space="0"/>
            <w:insideH w:val="none" w:color="auto" w:sz="0" w:space="0"/>
            <w:insideV w:val="none" w:color="auto" w:sz="0" w:space="0"/>
          </w:tblBorders>
          <w:tblCellMar>
            <w:top w:w="0" w:type="dxa"/>
            <w:left w:w="0" w:type="dxa"/>
            <w:bottom w:w="0" w:type="dxa"/>
            <w:right w:w="0" w:type="dxa"/>
          </w:tblCellMar>
        </w:tblPrEx>
        <w:trPr>
          <w:trHeight w:val="518" w:hRule="atLeast"/>
        </w:trPr>
        <w:tc>
          <w:tcPr>
            <w:tcW w:w="721" w:type="dxa"/>
            <w:tcBorders>
              <w:top w:val="outset" w:color="auto" w:sz="6" w:space="0"/>
              <w:left w:val="outset" w:color="auto" w:sz="6" w:space="0"/>
              <w:bottom w:val="outset" w:color="auto" w:sz="6" w:space="0"/>
              <w:right w:val="outset" w:color="auto" w:sz="6" w:space="0"/>
            </w:tcBorders>
            <w:noWrap w:val="0"/>
            <w:vAlign w:val="center"/>
          </w:tcPr>
          <w:p w14:paraId="6D575BD7">
            <w:pPr>
              <w:numPr>
                <w:ilvl w:val="0"/>
                <w:numId w:val="30"/>
              </w:numPr>
              <w:ind w:left="425" w:leftChars="0" w:hanging="425" w:firstLineChars="0"/>
              <w:jc w:val="right"/>
              <w:rPr>
                <w:rFonts w:hint="eastAsia" w:ascii="宋体" w:hAnsi="宋体" w:eastAsia="宋体" w:cs="宋体"/>
                <w:sz w:val="24"/>
                <w:szCs w:val="24"/>
                <w:highlight w:val="none"/>
              </w:rPr>
            </w:pPr>
          </w:p>
        </w:tc>
        <w:tc>
          <w:tcPr>
            <w:tcW w:w="1776" w:type="dxa"/>
            <w:tcBorders>
              <w:top w:val="outset" w:color="auto" w:sz="6" w:space="0"/>
              <w:left w:val="outset" w:color="auto" w:sz="6" w:space="0"/>
              <w:bottom w:val="outset" w:color="auto" w:sz="6" w:space="0"/>
              <w:right w:val="outset" w:color="auto" w:sz="6" w:space="0"/>
            </w:tcBorders>
            <w:noWrap w:val="0"/>
            <w:vAlign w:val="center"/>
          </w:tcPr>
          <w:p w14:paraId="3869717D">
            <w:pPr>
              <w:keepNext w:val="0"/>
              <w:keepLines w:val="0"/>
              <w:pageBreakBefore w:val="0"/>
              <w:widowControl w:val="0"/>
              <w:kinsoku/>
              <w:wordWrap w:val="0"/>
              <w:overflowPunct/>
              <w:topLinePunct w:val="0"/>
              <w:autoSpaceDE/>
              <w:autoSpaceDN/>
              <w:bidi w:val="0"/>
              <w:adjustRightInd/>
              <w:snapToGrid/>
              <w:ind w:left="415" w:leftChars="0" w:hanging="415" w:hangingChars="173"/>
              <w:jc w:val="center"/>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服务期</w:t>
            </w:r>
          </w:p>
        </w:tc>
        <w:tc>
          <w:tcPr>
            <w:tcW w:w="6896" w:type="dxa"/>
            <w:tcBorders>
              <w:top w:val="outset" w:color="auto" w:sz="6" w:space="0"/>
              <w:left w:val="outset" w:color="auto" w:sz="6" w:space="0"/>
              <w:bottom w:val="outset" w:color="auto" w:sz="6" w:space="0"/>
              <w:right w:val="outset" w:color="auto" w:sz="6" w:space="0"/>
            </w:tcBorders>
            <w:noWrap w:val="0"/>
            <w:vAlign w:val="center"/>
          </w:tcPr>
          <w:p w14:paraId="0FBAA325">
            <w:pPr>
              <w:keepNext w:val="0"/>
              <w:keepLines w:val="0"/>
              <w:pageBreakBefore w:val="0"/>
              <w:widowControl w:val="0"/>
              <w:kinsoku/>
              <w:wordWrap w:val="0"/>
              <w:overflowPunct/>
              <w:topLinePunct w:val="0"/>
              <w:autoSpaceDE/>
              <w:autoSpaceDN/>
              <w:bidi w:val="0"/>
              <w:adjustRightInd/>
              <w:snapToGrid/>
              <w:ind w:left="21" w:leftChars="10" w:right="21" w:rightChars="10" w:firstLine="0" w:firstLineChars="0"/>
              <w:jc w:val="left"/>
              <w:textAlignment w:val="auto"/>
              <w:rPr>
                <w:rFonts w:hint="eastAsia" w:ascii="宋体" w:hAnsi="宋体" w:eastAsia="宋体" w:cs="宋体"/>
                <w:sz w:val="24"/>
                <w:szCs w:val="24"/>
                <w:highlight w:val="none"/>
              </w:rPr>
            </w:pPr>
            <w:r>
              <w:rPr>
                <w:rFonts w:hint="eastAsia" w:ascii="宋体" w:hAnsi="宋体" w:cs="宋体"/>
                <w:sz w:val="24"/>
                <w:szCs w:val="24"/>
                <w:highlight w:val="none"/>
                <w:lang w:val="en-US" w:eastAsia="zh-CN"/>
              </w:rPr>
              <w:t>5年，合同期限自2025年1月1日至2029年12月31日止</w:t>
            </w:r>
            <w:r>
              <w:rPr>
                <w:rFonts w:hint="eastAsia" w:ascii="宋体" w:hAnsi="宋体" w:cs="宋体"/>
                <w:sz w:val="24"/>
                <w:szCs w:val="24"/>
                <w:highlight w:val="none"/>
                <w:lang w:eastAsia="zh-CN"/>
              </w:rPr>
              <w:t>。</w:t>
            </w:r>
          </w:p>
        </w:tc>
      </w:tr>
      <w:tr w14:paraId="252BFD54">
        <w:tblPrEx>
          <w:tblBorders>
            <w:top w:val="outset" w:color="auto" w:sz="12" w:space="0"/>
            <w:left w:val="outset" w:color="auto" w:sz="12" w:space="0"/>
            <w:bottom w:val="outset" w:color="auto" w:sz="12" w:space="0"/>
            <w:right w:val="outset" w:color="auto" w:sz="12" w:space="0"/>
            <w:insideH w:val="none" w:color="auto" w:sz="0" w:space="0"/>
            <w:insideV w:val="none" w:color="auto" w:sz="0" w:space="0"/>
          </w:tblBorders>
          <w:tblCellMar>
            <w:top w:w="0" w:type="dxa"/>
            <w:left w:w="0" w:type="dxa"/>
            <w:bottom w:w="0" w:type="dxa"/>
            <w:right w:w="0" w:type="dxa"/>
          </w:tblCellMar>
        </w:tblPrEx>
        <w:tc>
          <w:tcPr>
            <w:tcW w:w="721" w:type="dxa"/>
            <w:tcBorders>
              <w:top w:val="outset" w:color="auto" w:sz="6" w:space="0"/>
              <w:left w:val="outset" w:color="auto" w:sz="6" w:space="0"/>
              <w:bottom w:val="outset" w:color="auto" w:sz="6" w:space="0"/>
              <w:right w:val="outset" w:color="auto" w:sz="6" w:space="0"/>
            </w:tcBorders>
            <w:noWrap w:val="0"/>
            <w:vAlign w:val="center"/>
          </w:tcPr>
          <w:p w14:paraId="3592DAA5">
            <w:pPr>
              <w:numPr>
                <w:ilvl w:val="0"/>
                <w:numId w:val="30"/>
              </w:numPr>
              <w:ind w:left="425" w:leftChars="0" w:hanging="425" w:firstLineChars="0"/>
              <w:jc w:val="right"/>
              <w:rPr>
                <w:rFonts w:hint="eastAsia" w:ascii="宋体" w:hAnsi="宋体" w:eastAsia="宋体" w:cs="宋体"/>
                <w:sz w:val="24"/>
                <w:szCs w:val="24"/>
                <w:highlight w:val="none"/>
              </w:rPr>
            </w:pPr>
          </w:p>
        </w:tc>
        <w:tc>
          <w:tcPr>
            <w:tcW w:w="1776" w:type="dxa"/>
            <w:tcBorders>
              <w:top w:val="outset" w:color="auto" w:sz="6" w:space="0"/>
              <w:left w:val="outset" w:color="auto" w:sz="6" w:space="0"/>
              <w:bottom w:val="outset" w:color="auto" w:sz="6" w:space="0"/>
              <w:right w:val="outset" w:color="auto" w:sz="6" w:space="0"/>
            </w:tcBorders>
            <w:noWrap w:val="0"/>
            <w:vAlign w:val="center"/>
          </w:tcPr>
          <w:p w14:paraId="7FD1275E">
            <w:pPr>
              <w:keepNext w:val="0"/>
              <w:keepLines w:val="0"/>
              <w:pageBreakBefore w:val="0"/>
              <w:widowControl w:val="0"/>
              <w:kinsoku/>
              <w:wordWrap w:val="0"/>
              <w:overflowPunct/>
              <w:topLinePunct w:val="0"/>
              <w:autoSpaceDE/>
              <w:autoSpaceDN/>
              <w:bidi w:val="0"/>
              <w:adjustRightInd/>
              <w:snapToGrid/>
              <w:ind w:left="415" w:leftChars="0" w:hanging="415" w:hangingChars="173"/>
              <w:jc w:val="center"/>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付款方式</w:t>
            </w:r>
          </w:p>
        </w:tc>
        <w:tc>
          <w:tcPr>
            <w:tcW w:w="6896" w:type="dxa"/>
            <w:tcBorders>
              <w:top w:val="outset" w:color="auto" w:sz="6" w:space="0"/>
              <w:left w:val="outset" w:color="auto" w:sz="6" w:space="0"/>
              <w:bottom w:val="outset" w:color="auto" w:sz="6" w:space="0"/>
              <w:right w:val="outset" w:color="auto" w:sz="6" w:space="0"/>
            </w:tcBorders>
            <w:noWrap w:val="0"/>
            <w:vAlign w:val="center"/>
          </w:tcPr>
          <w:p w14:paraId="5CA582B7">
            <w:pPr>
              <w:keepNext w:val="0"/>
              <w:keepLines w:val="0"/>
              <w:pageBreakBefore w:val="0"/>
              <w:widowControl w:val="0"/>
              <w:numPr>
                <w:ilvl w:val="0"/>
                <w:numId w:val="0"/>
              </w:numPr>
              <w:kinsoku/>
              <w:wordWrap w:val="0"/>
              <w:overflowPunct/>
              <w:topLinePunct w:val="0"/>
              <w:autoSpaceDE/>
              <w:autoSpaceDN/>
              <w:bidi w:val="0"/>
              <w:adjustRightInd/>
              <w:snapToGrid/>
              <w:ind w:left="14" w:leftChars="0" w:hanging="14" w:hangingChars="6"/>
              <w:jc w:val="left"/>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w:t>
            </w:r>
            <w:r>
              <w:rPr>
                <w:rFonts w:hint="eastAsia" w:ascii="宋体" w:hAnsi="宋体" w:cs="宋体"/>
                <w:color w:val="auto"/>
                <w:sz w:val="24"/>
                <w:szCs w:val="24"/>
                <w:highlight w:val="none"/>
                <w:lang w:val="en-US" w:eastAsia="zh-CN"/>
              </w:rPr>
              <w:t>乙方</w:t>
            </w:r>
            <w:r>
              <w:rPr>
                <w:rFonts w:hint="eastAsia" w:ascii="宋体" w:hAnsi="宋体" w:eastAsia="宋体" w:cs="宋体"/>
                <w:color w:val="auto"/>
                <w:sz w:val="24"/>
                <w:szCs w:val="24"/>
                <w:highlight w:val="none"/>
                <w:lang w:val="en-US" w:eastAsia="zh-CN"/>
              </w:rPr>
              <w:t>按照</w:t>
            </w:r>
            <w:r>
              <w:rPr>
                <w:rFonts w:hint="eastAsia" w:ascii="宋体" w:hAnsi="宋体" w:cs="宋体"/>
                <w:color w:val="auto"/>
                <w:sz w:val="24"/>
                <w:szCs w:val="24"/>
                <w:highlight w:val="none"/>
                <w:lang w:val="en-US" w:eastAsia="zh-CN"/>
              </w:rPr>
              <w:t>合同</w:t>
            </w:r>
            <w:r>
              <w:rPr>
                <w:rFonts w:hint="eastAsia" w:ascii="宋体" w:hAnsi="宋体" w:eastAsia="宋体" w:cs="宋体"/>
                <w:color w:val="auto"/>
                <w:sz w:val="24"/>
                <w:szCs w:val="24"/>
                <w:highlight w:val="none"/>
                <w:lang w:val="en-US" w:eastAsia="zh-CN"/>
              </w:rPr>
              <w:t>制定的车辆管理费收费标准，对进入招标人辖区内停放的外来车辆收取车辆管理维护服务费。</w:t>
            </w:r>
            <w:r>
              <w:rPr>
                <w:rFonts w:hint="eastAsia" w:ascii="宋体" w:hAnsi="宋体" w:cs="宋体"/>
                <w:color w:val="auto"/>
                <w:sz w:val="24"/>
                <w:szCs w:val="24"/>
                <w:highlight w:val="none"/>
                <w:lang w:val="en-US" w:eastAsia="zh-CN"/>
              </w:rPr>
              <w:t>乙方</w:t>
            </w:r>
            <w:r>
              <w:rPr>
                <w:rFonts w:hint="eastAsia" w:ascii="宋体" w:hAnsi="宋体" w:eastAsia="宋体" w:cs="宋体"/>
                <w:color w:val="auto"/>
                <w:sz w:val="24"/>
                <w:szCs w:val="24"/>
                <w:highlight w:val="none"/>
                <w:lang w:val="en-US" w:eastAsia="zh-CN"/>
              </w:rPr>
              <w:t>在合同期内按季度向招标人支付车辆管理服务费；</w:t>
            </w:r>
          </w:p>
          <w:p w14:paraId="7EAA835E">
            <w:pPr>
              <w:keepNext w:val="0"/>
              <w:keepLines w:val="0"/>
              <w:pageBreakBefore w:val="0"/>
              <w:widowControl w:val="0"/>
              <w:numPr>
                <w:ilvl w:val="0"/>
                <w:numId w:val="0"/>
              </w:numPr>
              <w:kinsoku/>
              <w:wordWrap w:val="0"/>
              <w:overflowPunct/>
              <w:topLinePunct w:val="0"/>
              <w:autoSpaceDE/>
              <w:autoSpaceDN/>
              <w:bidi w:val="0"/>
              <w:adjustRightInd/>
              <w:snapToGrid/>
              <w:ind w:left="14" w:leftChars="0" w:hanging="14" w:hangingChars="6"/>
              <w:jc w:val="left"/>
              <w:textAlignment w:val="auto"/>
              <w:rPr>
                <w:rFonts w:hint="eastAsia" w:ascii="宋体" w:hAnsi="宋体" w:eastAsia="宋体" w:cs="宋体"/>
                <w:sz w:val="24"/>
                <w:szCs w:val="24"/>
                <w:highlight w:val="none"/>
              </w:rPr>
            </w:pPr>
            <w:r>
              <w:rPr>
                <w:rFonts w:hint="eastAsia" w:ascii="宋体" w:hAnsi="宋体" w:eastAsia="宋体" w:cs="宋体"/>
                <w:color w:val="auto"/>
                <w:sz w:val="24"/>
                <w:szCs w:val="24"/>
                <w:highlight w:val="none"/>
                <w:lang w:val="en-US" w:eastAsia="zh-CN"/>
              </w:rPr>
              <w:t>2.按先支付后管理使用原则，逾期15日未付清的视作根本性违约，招标人有权单方解除</w:t>
            </w:r>
            <w:r>
              <w:rPr>
                <w:rFonts w:hint="eastAsia" w:ascii="宋体" w:hAnsi="宋体" w:cs="宋体"/>
                <w:color w:val="auto"/>
                <w:sz w:val="24"/>
                <w:szCs w:val="24"/>
                <w:highlight w:val="none"/>
                <w:lang w:val="en-US" w:eastAsia="zh-CN"/>
              </w:rPr>
              <w:t>合同</w:t>
            </w:r>
            <w:r>
              <w:rPr>
                <w:rFonts w:hint="eastAsia" w:ascii="宋体" w:hAnsi="宋体" w:eastAsia="宋体" w:cs="宋体"/>
                <w:color w:val="auto"/>
                <w:sz w:val="24"/>
                <w:szCs w:val="24"/>
                <w:highlight w:val="none"/>
                <w:lang w:val="en-US" w:eastAsia="zh-CN"/>
              </w:rPr>
              <w:t>，并</w:t>
            </w:r>
            <w:r>
              <w:rPr>
                <w:rFonts w:hint="eastAsia" w:ascii="宋体" w:hAnsi="宋体" w:cs="宋体"/>
                <w:color w:val="auto"/>
                <w:sz w:val="24"/>
                <w:szCs w:val="24"/>
                <w:highlight w:val="none"/>
                <w:lang w:val="en-US" w:eastAsia="zh-CN"/>
              </w:rPr>
              <w:t>不予退还合同履约保证金</w:t>
            </w:r>
            <w:r>
              <w:rPr>
                <w:rFonts w:hint="eastAsia" w:ascii="宋体" w:hAnsi="宋体" w:eastAsia="宋体" w:cs="宋体"/>
                <w:color w:val="auto"/>
                <w:sz w:val="24"/>
                <w:szCs w:val="24"/>
                <w:highlight w:val="none"/>
                <w:lang w:val="en-US" w:eastAsia="zh-CN"/>
              </w:rPr>
              <w:t>，</w:t>
            </w:r>
            <w:r>
              <w:rPr>
                <w:rFonts w:hint="eastAsia" w:ascii="宋体" w:hAnsi="宋体" w:cs="宋体"/>
                <w:color w:val="auto"/>
                <w:sz w:val="24"/>
                <w:szCs w:val="24"/>
                <w:highlight w:val="none"/>
                <w:lang w:val="en-US" w:eastAsia="zh-CN"/>
              </w:rPr>
              <w:t>乙方</w:t>
            </w:r>
            <w:r>
              <w:rPr>
                <w:rFonts w:hint="eastAsia" w:ascii="宋体" w:hAnsi="宋体" w:eastAsia="宋体" w:cs="宋体"/>
                <w:color w:val="auto"/>
                <w:sz w:val="24"/>
                <w:szCs w:val="24"/>
                <w:highlight w:val="none"/>
                <w:lang w:val="en-US" w:eastAsia="zh-CN"/>
              </w:rPr>
              <w:t>投入建设安装的一切设施设备无偿归甲方所有。招标人在收取服务费时只提供招标人开具的收据，如需要开具发票，所产生的税费由</w:t>
            </w:r>
            <w:r>
              <w:rPr>
                <w:rFonts w:hint="eastAsia" w:ascii="宋体" w:hAnsi="宋体" w:cs="宋体"/>
                <w:color w:val="auto"/>
                <w:sz w:val="24"/>
                <w:szCs w:val="24"/>
                <w:highlight w:val="none"/>
                <w:lang w:val="en-US" w:eastAsia="zh-CN"/>
              </w:rPr>
              <w:t>乙方</w:t>
            </w:r>
            <w:r>
              <w:rPr>
                <w:rFonts w:hint="eastAsia" w:ascii="宋体" w:hAnsi="宋体" w:eastAsia="宋体" w:cs="宋体"/>
                <w:color w:val="auto"/>
                <w:sz w:val="24"/>
                <w:szCs w:val="24"/>
                <w:highlight w:val="none"/>
                <w:lang w:val="en-US" w:eastAsia="zh-CN"/>
              </w:rPr>
              <w:t>承担。</w:t>
            </w:r>
          </w:p>
        </w:tc>
      </w:tr>
      <w:tr w14:paraId="05D7DDA8">
        <w:tblPrEx>
          <w:tblBorders>
            <w:top w:val="outset" w:color="auto" w:sz="12" w:space="0"/>
            <w:left w:val="outset" w:color="auto" w:sz="12" w:space="0"/>
            <w:bottom w:val="outset" w:color="auto" w:sz="12" w:space="0"/>
            <w:right w:val="outset" w:color="auto" w:sz="12" w:space="0"/>
            <w:insideH w:val="none" w:color="auto" w:sz="0" w:space="0"/>
            <w:insideV w:val="none" w:color="auto" w:sz="0" w:space="0"/>
          </w:tblBorders>
          <w:tblCellMar>
            <w:top w:w="0" w:type="dxa"/>
            <w:left w:w="0" w:type="dxa"/>
            <w:bottom w:w="0" w:type="dxa"/>
            <w:right w:w="0" w:type="dxa"/>
          </w:tblCellMar>
        </w:tblPrEx>
        <w:tc>
          <w:tcPr>
            <w:tcW w:w="721" w:type="dxa"/>
            <w:tcBorders>
              <w:top w:val="outset" w:color="auto" w:sz="6" w:space="0"/>
              <w:left w:val="outset" w:color="auto" w:sz="6" w:space="0"/>
              <w:bottom w:val="outset" w:color="auto" w:sz="6" w:space="0"/>
              <w:right w:val="outset" w:color="auto" w:sz="6" w:space="0"/>
            </w:tcBorders>
            <w:noWrap w:val="0"/>
            <w:vAlign w:val="center"/>
          </w:tcPr>
          <w:p w14:paraId="3C0BF190">
            <w:pPr>
              <w:numPr>
                <w:ilvl w:val="0"/>
                <w:numId w:val="30"/>
              </w:numPr>
              <w:ind w:left="425" w:leftChars="0" w:hanging="425" w:firstLineChars="0"/>
              <w:jc w:val="right"/>
              <w:rPr>
                <w:rFonts w:hint="eastAsia" w:ascii="宋体" w:hAnsi="宋体" w:eastAsia="宋体" w:cs="宋体"/>
                <w:sz w:val="24"/>
                <w:szCs w:val="24"/>
                <w:highlight w:val="none"/>
              </w:rPr>
            </w:pPr>
          </w:p>
        </w:tc>
        <w:tc>
          <w:tcPr>
            <w:tcW w:w="1776" w:type="dxa"/>
            <w:tcBorders>
              <w:top w:val="outset" w:color="auto" w:sz="6" w:space="0"/>
              <w:left w:val="outset" w:color="auto" w:sz="6" w:space="0"/>
              <w:bottom w:val="outset" w:color="auto" w:sz="6" w:space="0"/>
              <w:right w:val="outset" w:color="auto" w:sz="6" w:space="0"/>
            </w:tcBorders>
            <w:noWrap w:val="0"/>
            <w:vAlign w:val="center"/>
          </w:tcPr>
          <w:p w14:paraId="40223450">
            <w:pPr>
              <w:keepNext w:val="0"/>
              <w:keepLines w:val="0"/>
              <w:pageBreakBefore w:val="0"/>
              <w:widowControl w:val="0"/>
              <w:kinsoku/>
              <w:wordWrap w:val="0"/>
              <w:overflowPunct/>
              <w:topLinePunct w:val="0"/>
              <w:autoSpaceDE/>
              <w:autoSpaceDN/>
              <w:bidi w:val="0"/>
              <w:adjustRightInd/>
              <w:snapToGrid/>
              <w:ind w:left="415" w:leftChars="0" w:hanging="415" w:hangingChars="173"/>
              <w:jc w:val="center"/>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递增情况</w:t>
            </w:r>
          </w:p>
        </w:tc>
        <w:tc>
          <w:tcPr>
            <w:tcW w:w="6896" w:type="dxa"/>
            <w:tcBorders>
              <w:top w:val="outset" w:color="auto" w:sz="6" w:space="0"/>
              <w:left w:val="outset" w:color="auto" w:sz="6" w:space="0"/>
              <w:bottom w:val="outset" w:color="auto" w:sz="6" w:space="0"/>
              <w:right w:val="outset" w:color="auto" w:sz="6" w:space="0"/>
            </w:tcBorders>
            <w:noWrap w:val="0"/>
            <w:vAlign w:val="center"/>
          </w:tcPr>
          <w:p w14:paraId="46064A9A">
            <w:pPr>
              <w:keepNext w:val="0"/>
              <w:keepLines w:val="0"/>
              <w:pageBreakBefore w:val="0"/>
              <w:widowControl w:val="0"/>
              <w:numPr>
                <w:ilvl w:val="0"/>
                <w:numId w:val="0"/>
              </w:numPr>
              <w:kinsoku/>
              <w:wordWrap w:val="0"/>
              <w:overflowPunct/>
              <w:topLinePunct w:val="0"/>
              <w:autoSpaceDE/>
              <w:autoSpaceDN/>
              <w:bidi w:val="0"/>
              <w:adjustRightInd/>
              <w:snapToGrid/>
              <w:ind w:left="14" w:leftChars="0" w:hanging="14" w:hangingChars="6"/>
              <w:jc w:val="left"/>
              <w:textAlignment w:val="auto"/>
              <w:rPr>
                <w:rFonts w:hint="eastAsia" w:ascii="宋体" w:hAnsi="宋体" w:eastAsia="宋体" w:cs="宋体"/>
                <w:sz w:val="24"/>
                <w:szCs w:val="24"/>
                <w:highlight w:val="none"/>
              </w:rPr>
            </w:pPr>
            <w:r>
              <w:rPr>
                <w:rFonts w:hint="eastAsia" w:ascii="宋体" w:hAnsi="宋体" w:eastAsia="宋体" w:cs="宋体"/>
                <w:color w:val="auto"/>
                <w:sz w:val="24"/>
                <w:szCs w:val="24"/>
                <w:highlight w:val="none"/>
              </w:rPr>
              <w:t>每两年为一个周期，每个周期内的年度管理费在上一个周期的基础上按首年管理费的8%固定递增。</w:t>
            </w:r>
          </w:p>
        </w:tc>
      </w:tr>
      <w:tr w14:paraId="6329E7A8">
        <w:tblPrEx>
          <w:tblBorders>
            <w:top w:val="outset" w:color="auto" w:sz="12" w:space="0"/>
            <w:left w:val="outset" w:color="auto" w:sz="12" w:space="0"/>
            <w:bottom w:val="outset" w:color="auto" w:sz="12" w:space="0"/>
            <w:right w:val="outset" w:color="auto" w:sz="12" w:space="0"/>
            <w:insideH w:val="none" w:color="auto" w:sz="0" w:space="0"/>
            <w:insideV w:val="none" w:color="auto" w:sz="0" w:space="0"/>
          </w:tblBorders>
          <w:tblCellMar>
            <w:top w:w="0" w:type="dxa"/>
            <w:left w:w="0" w:type="dxa"/>
            <w:bottom w:w="0" w:type="dxa"/>
            <w:right w:w="0" w:type="dxa"/>
          </w:tblCellMar>
        </w:tblPrEx>
        <w:tc>
          <w:tcPr>
            <w:tcW w:w="721" w:type="dxa"/>
            <w:tcBorders>
              <w:top w:val="outset" w:color="auto" w:sz="6" w:space="0"/>
              <w:left w:val="outset" w:color="auto" w:sz="6" w:space="0"/>
              <w:bottom w:val="outset" w:color="auto" w:sz="6" w:space="0"/>
              <w:right w:val="outset" w:color="auto" w:sz="6" w:space="0"/>
            </w:tcBorders>
            <w:noWrap w:val="0"/>
            <w:vAlign w:val="center"/>
          </w:tcPr>
          <w:p w14:paraId="1FC9B60F">
            <w:pPr>
              <w:numPr>
                <w:ilvl w:val="0"/>
                <w:numId w:val="30"/>
              </w:numPr>
              <w:ind w:left="425" w:leftChars="0" w:hanging="425" w:firstLineChars="0"/>
              <w:jc w:val="right"/>
              <w:rPr>
                <w:rFonts w:hint="eastAsia" w:ascii="宋体" w:hAnsi="宋体" w:eastAsia="宋体" w:cs="宋体"/>
                <w:sz w:val="24"/>
                <w:szCs w:val="24"/>
                <w:highlight w:val="none"/>
              </w:rPr>
            </w:pPr>
          </w:p>
        </w:tc>
        <w:tc>
          <w:tcPr>
            <w:tcW w:w="1776" w:type="dxa"/>
            <w:tcBorders>
              <w:top w:val="outset" w:color="auto" w:sz="6" w:space="0"/>
              <w:left w:val="outset" w:color="auto" w:sz="6" w:space="0"/>
              <w:bottom w:val="outset" w:color="auto" w:sz="6" w:space="0"/>
              <w:right w:val="outset" w:color="auto" w:sz="6" w:space="0"/>
            </w:tcBorders>
            <w:noWrap w:val="0"/>
            <w:vAlign w:val="center"/>
          </w:tcPr>
          <w:p w14:paraId="286F9A47">
            <w:pPr>
              <w:keepNext w:val="0"/>
              <w:keepLines w:val="0"/>
              <w:pageBreakBefore w:val="0"/>
              <w:widowControl w:val="0"/>
              <w:kinsoku/>
              <w:wordWrap w:val="0"/>
              <w:overflowPunct/>
              <w:topLinePunct w:val="0"/>
              <w:autoSpaceDE/>
              <w:autoSpaceDN/>
              <w:bidi w:val="0"/>
              <w:adjustRightInd/>
              <w:snapToGrid/>
              <w:ind w:left="415" w:leftChars="0" w:hanging="415" w:hangingChars="173"/>
              <w:jc w:val="center"/>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合同履约保证金</w:t>
            </w:r>
          </w:p>
        </w:tc>
        <w:tc>
          <w:tcPr>
            <w:tcW w:w="6896" w:type="dxa"/>
            <w:tcBorders>
              <w:top w:val="outset" w:color="auto" w:sz="6" w:space="0"/>
              <w:left w:val="outset" w:color="auto" w:sz="6" w:space="0"/>
              <w:bottom w:val="outset" w:color="auto" w:sz="6" w:space="0"/>
              <w:right w:val="outset" w:color="auto" w:sz="6" w:space="0"/>
            </w:tcBorders>
            <w:noWrap w:val="0"/>
            <w:vAlign w:val="center"/>
          </w:tcPr>
          <w:p w14:paraId="7A8C1C15">
            <w:pPr>
              <w:keepNext w:val="0"/>
              <w:keepLines w:val="0"/>
              <w:pageBreakBefore w:val="0"/>
              <w:widowControl w:val="0"/>
              <w:numPr>
                <w:ilvl w:val="0"/>
                <w:numId w:val="0"/>
              </w:numPr>
              <w:kinsoku/>
              <w:wordWrap w:val="0"/>
              <w:overflowPunct/>
              <w:topLinePunct w:val="0"/>
              <w:autoSpaceDE/>
              <w:autoSpaceDN/>
              <w:bidi w:val="0"/>
              <w:adjustRightInd/>
              <w:snapToGrid/>
              <w:ind w:left="21" w:leftChars="10" w:right="21" w:rightChars="10" w:firstLine="0" w:firstLineChars="0"/>
              <w:jc w:val="left"/>
              <w:textAlignment w:val="auto"/>
              <w:rPr>
                <w:rFonts w:hint="eastAsia" w:ascii="宋体" w:hAnsi="宋体" w:eastAsia="宋体" w:cs="宋体"/>
                <w:sz w:val="24"/>
                <w:szCs w:val="24"/>
                <w:highlight w:val="none"/>
              </w:rPr>
            </w:pPr>
            <w:r>
              <w:rPr>
                <w:rFonts w:hint="eastAsia" w:ascii="宋体" w:hAnsi="宋体" w:eastAsia="宋体" w:cs="宋体"/>
                <w:color w:val="auto"/>
                <w:sz w:val="24"/>
                <w:szCs w:val="24"/>
                <w:highlight w:val="none"/>
              </w:rPr>
              <w:t>履约保证金为</w:t>
            </w:r>
            <w:r>
              <w:rPr>
                <w:rFonts w:hint="eastAsia" w:ascii="宋体" w:hAnsi="宋体" w:cs="宋体"/>
                <w:color w:val="auto"/>
                <w:sz w:val="24"/>
                <w:szCs w:val="24"/>
                <w:highlight w:val="none"/>
                <w:lang w:val="en-US" w:eastAsia="zh-CN"/>
              </w:rPr>
              <w:t>100,000.00</w:t>
            </w:r>
            <w:r>
              <w:rPr>
                <w:rFonts w:hint="eastAsia" w:ascii="宋体" w:hAnsi="宋体" w:eastAsia="宋体" w:cs="宋体"/>
                <w:color w:val="auto"/>
                <w:sz w:val="24"/>
                <w:szCs w:val="24"/>
                <w:highlight w:val="none"/>
              </w:rPr>
              <w:t>元</w:t>
            </w:r>
            <w:r>
              <w:rPr>
                <w:rFonts w:hint="eastAsia" w:ascii="宋体" w:hAnsi="宋体" w:cs="宋体"/>
                <w:color w:val="auto"/>
                <w:sz w:val="24"/>
                <w:szCs w:val="24"/>
                <w:highlight w:val="none"/>
                <w:lang w:eastAsia="zh-CN"/>
              </w:rPr>
              <w:t>（</w:t>
            </w:r>
            <w:r>
              <w:rPr>
                <w:rFonts w:hint="eastAsia" w:ascii="宋体" w:hAnsi="宋体" w:cs="宋体"/>
                <w:color w:val="auto"/>
                <w:sz w:val="24"/>
                <w:szCs w:val="24"/>
                <w:highlight w:val="none"/>
                <w:lang w:val="en-US" w:eastAsia="zh-CN"/>
              </w:rPr>
              <w:t>大写：人民币壹拾万元整</w:t>
            </w:r>
            <w:r>
              <w:rPr>
                <w:rFonts w:hint="eastAsia" w:ascii="宋体" w:hAnsi="宋体" w:cs="宋体"/>
                <w:color w:val="auto"/>
                <w:sz w:val="24"/>
                <w:szCs w:val="24"/>
                <w:highlight w:val="none"/>
                <w:lang w:eastAsia="zh-CN"/>
              </w:rPr>
              <w:t>）</w:t>
            </w:r>
            <w:r>
              <w:rPr>
                <w:rFonts w:hint="eastAsia" w:ascii="宋体" w:hAnsi="宋体" w:eastAsia="宋体" w:cs="宋体"/>
                <w:color w:val="auto"/>
                <w:sz w:val="24"/>
                <w:szCs w:val="24"/>
                <w:highlight w:val="none"/>
              </w:rPr>
              <w:t>。</w:t>
            </w:r>
            <w:r>
              <w:rPr>
                <w:rFonts w:hint="eastAsia" w:ascii="宋体" w:hAnsi="宋体" w:cs="宋体"/>
                <w:color w:val="auto"/>
                <w:sz w:val="24"/>
                <w:szCs w:val="24"/>
                <w:highlight w:val="none"/>
                <w:lang w:eastAsia="zh-CN"/>
              </w:rPr>
              <w:t>乙方</w:t>
            </w:r>
            <w:r>
              <w:rPr>
                <w:rFonts w:hint="eastAsia" w:ascii="宋体" w:hAnsi="宋体" w:eastAsia="宋体" w:cs="宋体"/>
                <w:color w:val="auto"/>
                <w:sz w:val="24"/>
                <w:szCs w:val="24"/>
                <w:highlight w:val="none"/>
              </w:rPr>
              <w:t>在中标通知书发出3个工作日内，应以银行转账</w:t>
            </w:r>
            <w:r>
              <w:rPr>
                <w:rFonts w:hint="eastAsia" w:ascii="宋体" w:hAnsi="宋体" w:cs="宋体"/>
                <w:color w:val="auto"/>
                <w:sz w:val="24"/>
                <w:szCs w:val="24"/>
                <w:highlight w:val="none"/>
                <w:lang w:val="en-US" w:eastAsia="zh-CN"/>
              </w:rPr>
              <w:t>等非现金</w:t>
            </w:r>
            <w:r>
              <w:rPr>
                <w:rFonts w:hint="eastAsia" w:ascii="宋体" w:hAnsi="宋体" w:eastAsia="宋体" w:cs="宋体"/>
                <w:color w:val="auto"/>
                <w:sz w:val="24"/>
                <w:szCs w:val="24"/>
                <w:highlight w:val="none"/>
              </w:rPr>
              <w:t>的方式向</w:t>
            </w:r>
            <w:r>
              <w:rPr>
                <w:rFonts w:hint="eastAsia" w:ascii="宋体" w:hAnsi="宋体" w:cs="宋体"/>
                <w:color w:val="auto"/>
                <w:sz w:val="24"/>
                <w:szCs w:val="24"/>
                <w:highlight w:val="none"/>
                <w:lang w:eastAsia="zh-CN"/>
              </w:rPr>
              <w:t>甲方</w:t>
            </w:r>
            <w:r>
              <w:rPr>
                <w:rFonts w:hint="eastAsia" w:ascii="宋体" w:hAnsi="宋体" w:eastAsia="宋体" w:cs="宋体"/>
                <w:color w:val="auto"/>
                <w:sz w:val="24"/>
                <w:szCs w:val="24"/>
                <w:highlight w:val="none"/>
              </w:rPr>
              <w:t>交纳履约保证金。如</w:t>
            </w:r>
            <w:r>
              <w:rPr>
                <w:rFonts w:hint="eastAsia" w:ascii="宋体" w:hAnsi="宋体" w:cs="宋体"/>
                <w:color w:val="auto"/>
                <w:sz w:val="24"/>
                <w:szCs w:val="24"/>
                <w:highlight w:val="none"/>
                <w:lang w:eastAsia="zh-CN"/>
              </w:rPr>
              <w:t>乙方</w:t>
            </w:r>
            <w:r>
              <w:rPr>
                <w:rFonts w:hint="eastAsia" w:ascii="宋体" w:hAnsi="宋体" w:eastAsia="宋体" w:cs="宋体"/>
                <w:color w:val="auto"/>
                <w:sz w:val="24"/>
                <w:szCs w:val="24"/>
                <w:highlight w:val="none"/>
              </w:rPr>
              <w:t>无违约行为的，服务期结束后30日内，</w:t>
            </w:r>
            <w:r>
              <w:rPr>
                <w:rFonts w:hint="eastAsia" w:ascii="宋体" w:hAnsi="宋体" w:cs="宋体"/>
                <w:color w:val="auto"/>
                <w:sz w:val="24"/>
                <w:szCs w:val="24"/>
                <w:highlight w:val="none"/>
                <w:lang w:eastAsia="zh-CN"/>
              </w:rPr>
              <w:t>甲方</w:t>
            </w:r>
            <w:r>
              <w:rPr>
                <w:rFonts w:hint="eastAsia" w:ascii="宋体" w:hAnsi="宋体" w:eastAsia="宋体" w:cs="宋体"/>
                <w:color w:val="auto"/>
                <w:sz w:val="24"/>
                <w:szCs w:val="24"/>
                <w:highlight w:val="none"/>
              </w:rPr>
              <w:t>将履约保证金全额无息退还给</w:t>
            </w:r>
            <w:r>
              <w:rPr>
                <w:rFonts w:hint="eastAsia" w:ascii="宋体" w:hAnsi="宋体" w:cs="宋体"/>
                <w:color w:val="auto"/>
                <w:sz w:val="24"/>
                <w:szCs w:val="24"/>
                <w:highlight w:val="none"/>
                <w:lang w:eastAsia="zh-CN"/>
              </w:rPr>
              <w:t>乙方</w:t>
            </w:r>
            <w:r>
              <w:rPr>
                <w:rFonts w:hint="eastAsia" w:ascii="宋体" w:hAnsi="宋体" w:eastAsia="宋体" w:cs="宋体"/>
                <w:color w:val="auto"/>
                <w:sz w:val="24"/>
                <w:szCs w:val="24"/>
                <w:highlight w:val="none"/>
              </w:rPr>
              <w:t>。</w:t>
            </w:r>
            <w:r>
              <w:rPr>
                <w:rFonts w:hint="eastAsia" w:ascii="宋体" w:hAnsi="宋体" w:cs="宋体"/>
                <w:color w:val="auto"/>
                <w:sz w:val="24"/>
                <w:szCs w:val="24"/>
                <w:highlight w:val="none"/>
                <w:lang w:eastAsia="zh-CN"/>
              </w:rPr>
              <w:t>乙方</w:t>
            </w:r>
            <w:r>
              <w:rPr>
                <w:rFonts w:hint="eastAsia" w:ascii="宋体" w:hAnsi="宋体" w:eastAsia="宋体" w:cs="宋体"/>
                <w:color w:val="auto"/>
                <w:sz w:val="24"/>
                <w:szCs w:val="24"/>
                <w:highlight w:val="none"/>
              </w:rPr>
              <w:t>不按要求提交履约保证金的，</w:t>
            </w:r>
            <w:r>
              <w:rPr>
                <w:rFonts w:hint="eastAsia" w:ascii="宋体" w:hAnsi="宋体" w:cs="宋体"/>
                <w:color w:val="auto"/>
                <w:sz w:val="24"/>
                <w:szCs w:val="24"/>
                <w:highlight w:val="none"/>
                <w:lang w:eastAsia="zh-CN"/>
              </w:rPr>
              <w:t>甲方</w:t>
            </w:r>
            <w:r>
              <w:rPr>
                <w:rFonts w:hint="eastAsia" w:ascii="宋体" w:hAnsi="宋体" w:eastAsia="宋体" w:cs="宋体"/>
                <w:color w:val="auto"/>
                <w:sz w:val="24"/>
                <w:szCs w:val="24"/>
                <w:highlight w:val="none"/>
              </w:rPr>
              <w:t>有权解除合同，取消</w:t>
            </w:r>
            <w:r>
              <w:rPr>
                <w:rFonts w:hint="eastAsia" w:ascii="宋体" w:hAnsi="宋体" w:cs="宋体"/>
                <w:color w:val="auto"/>
                <w:sz w:val="24"/>
                <w:szCs w:val="24"/>
                <w:highlight w:val="none"/>
                <w:lang w:eastAsia="zh-CN"/>
              </w:rPr>
              <w:t>乙方</w:t>
            </w:r>
            <w:r>
              <w:rPr>
                <w:rFonts w:hint="eastAsia" w:ascii="宋体" w:hAnsi="宋体" w:eastAsia="宋体" w:cs="宋体"/>
                <w:color w:val="auto"/>
                <w:sz w:val="24"/>
                <w:szCs w:val="24"/>
                <w:highlight w:val="none"/>
              </w:rPr>
              <w:t>的成交资格，</w:t>
            </w:r>
            <w:r>
              <w:rPr>
                <w:rFonts w:hint="eastAsia" w:ascii="宋体" w:hAnsi="宋体" w:cs="宋体"/>
                <w:color w:val="auto"/>
                <w:sz w:val="24"/>
                <w:szCs w:val="24"/>
                <w:highlight w:val="none"/>
                <w:lang w:eastAsia="zh-CN"/>
              </w:rPr>
              <w:t>竞投保证金</w:t>
            </w:r>
            <w:r>
              <w:rPr>
                <w:rFonts w:hint="eastAsia" w:ascii="宋体" w:hAnsi="宋体" w:eastAsia="宋体" w:cs="宋体"/>
                <w:color w:val="auto"/>
                <w:sz w:val="24"/>
                <w:szCs w:val="24"/>
                <w:highlight w:val="none"/>
              </w:rPr>
              <w:t>不予退还。</w:t>
            </w:r>
          </w:p>
        </w:tc>
      </w:tr>
      <w:tr w14:paraId="414178C4">
        <w:tblPrEx>
          <w:tblBorders>
            <w:top w:val="outset" w:color="auto" w:sz="12" w:space="0"/>
            <w:left w:val="outset" w:color="auto" w:sz="12" w:space="0"/>
            <w:bottom w:val="outset" w:color="auto" w:sz="12" w:space="0"/>
            <w:right w:val="outset" w:color="auto" w:sz="12" w:space="0"/>
            <w:insideH w:val="none" w:color="auto" w:sz="0" w:space="0"/>
            <w:insideV w:val="none" w:color="auto" w:sz="0" w:space="0"/>
          </w:tblBorders>
          <w:tblCellMar>
            <w:top w:w="0" w:type="dxa"/>
            <w:left w:w="0" w:type="dxa"/>
            <w:bottom w:w="0" w:type="dxa"/>
            <w:right w:w="0" w:type="dxa"/>
          </w:tblCellMar>
        </w:tblPrEx>
        <w:tc>
          <w:tcPr>
            <w:tcW w:w="721" w:type="dxa"/>
            <w:tcBorders>
              <w:top w:val="outset" w:color="auto" w:sz="6" w:space="0"/>
              <w:left w:val="outset" w:color="auto" w:sz="6" w:space="0"/>
              <w:bottom w:val="outset" w:color="auto" w:sz="6" w:space="0"/>
              <w:right w:val="outset" w:color="auto" w:sz="6" w:space="0"/>
            </w:tcBorders>
            <w:noWrap w:val="0"/>
            <w:vAlign w:val="center"/>
          </w:tcPr>
          <w:p w14:paraId="1E056CB5">
            <w:pPr>
              <w:numPr>
                <w:ilvl w:val="0"/>
                <w:numId w:val="30"/>
              </w:numPr>
              <w:ind w:left="425" w:leftChars="0" w:hanging="425" w:firstLineChars="0"/>
              <w:jc w:val="right"/>
              <w:rPr>
                <w:rFonts w:hint="eastAsia" w:ascii="宋体" w:hAnsi="宋体" w:eastAsia="宋体" w:cs="宋体"/>
                <w:sz w:val="24"/>
                <w:szCs w:val="24"/>
                <w:highlight w:val="none"/>
              </w:rPr>
            </w:pPr>
          </w:p>
        </w:tc>
        <w:tc>
          <w:tcPr>
            <w:tcW w:w="1776" w:type="dxa"/>
            <w:tcBorders>
              <w:top w:val="outset" w:color="auto" w:sz="6" w:space="0"/>
              <w:left w:val="outset" w:color="auto" w:sz="6" w:space="0"/>
              <w:bottom w:val="outset" w:color="auto" w:sz="6" w:space="0"/>
              <w:right w:val="outset" w:color="auto" w:sz="6" w:space="0"/>
            </w:tcBorders>
            <w:noWrap w:val="0"/>
            <w:vAlign w:val="center"/>
          </w:tcPr>
          <w:p w14:paraId="794F712C">
            <w:pPr>
              <w:keepNext w:val="0"/>
              <w:keepLines w:val="0"/>
              <w:pageBreakBefore w:val="0"/>
              <w:widowControl w:val="0"/>
              <w:kinsoku/>
              <w:wordWrap w:val="0"/>
              <w:overflowPunct/>
              <w:topLinePunct w:val="0"/>
              <w:autoSpaceDE/>
              <w:autoSpaceDN/>
              <w:bidi w:val="0"/>
              <w:adjustRightInd/>
              <w:snapToGrid/>
              <w:ind w:left="415" w:leftChars="0" w:hanging="415" w:hangingChars="173"/>
              <w:jc w:val="center"/>
              <w:textAlignment w:val="auto"/>
              <w:rPr>
                <w:rFonts w:hint="eastAsia" w:ascii="宋体" w:hAnsi="宋体" w:eastAsia="宋体" w:cs="宋体"/>
                <w:sz w:val="24"/>
                <w:szCs w:val="24"/>
                <w:highlight w:val="none"/>
              </w:rPr>
            </w:pPr>
            <w:r>
              <w:rPr>
                <w:rFonts w:hint="eastAsia" w:ascii="宋体" w:hAnsi="宋体" w:cs="宋体"/>
                <w:sz w:val="24"/>
                <w:szCs w:val="24"/>
                <w:highlight w:val="none"/>
                <w:lang w:val="en-US" w:eastAsia="zh-CN"/>
              </w:rPr>
              <w:t>其他</w:t>
            </w:r>
          </w:p>
        </w:tc>
        <w:tc>
          <w:tcPr>
            <w:tcW w:w="6896" w:type="dxa"/>
            <w:tcBorders>
              <w:top w:val="outset" w:color="auto" w:sz="6" w:space="0"/>
              <w:left w:val="outset" w:color="auto" w:sz="6" w:space="0"/>
              <w:bottom w:val="outset" w:color="auto" w:sz="6" w:space="0"/>
              <w:right w:val="outset" w:color="auto" w:sz="6" w:space="0"/>
            </w:tcBorders>
            <w:noWrap w:val="0"/>
            <w:vAlign w:val="center"/>
          </w:tcPr>
          <w:p w14:paraId="28DD7A99">
            <w:pPr>
              <w:keepNext w:val="0"/>
              <w:keepLines w:val="0"/>
              <w:pageBreakBefore w:val="0"/>
              <w:widowControl w:val="0"/>
              <w:numPr>
                <w:ilvl w:val="0"/>
                <w:numId w:val="0"/>
              </w:numPr>
              <w:kinsoku/>
              <w:wordWrap w:val="0"/>
              <w:overflowPunct/>
              <w:topLinePunct w:val="0"/>
              <w:autoSpaceDE/>
              <w:autoSpaceDN/>
              <w:bidi w:val="0"/>
              <w:adjustRightInd/>
              <w:snapToGrid/>
              <w:ind w:left="0" w:leftChars="0" w:firstLine="0" w:firstLineChars="0"/>
              <w:jc w:val="left"/>
              <w:textAlignment w:val="auto"/>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eastAsia="zh-CN"/>
              </w:rPr>
              <w:t>1.甲方将吉利邓岗村车辆停放管理交由乙方进行管理，乙方按合同金额向甲方支付相关费用；</w:t>
            </w:r>
          </w:p>
          <w:p w14:paraId="217ED848">
            <w:pPr>
              <w:keepNext w:val="0"/>
              <w:keepLines w:val="0"/>
              <w:pageBreakBefore w:val="0"/>
              <w:widowControl w:val="0"/>
              <w:numPr>
                <w:ilvl w:val="0"/>
                <w:numId w:val="0"/>
              </w:numPr>
              <w:kinsoku/>
              <w:wordWrap w:val="0"/>
              <w:overflowPunct/>
              <w:topLinePunct w:val="0"/>
              <w:autoSpaceDE/>
              <w:autoSpaceDN/>
              <w:bidi w:val="0"/>
              <w:adjustRightInd/>
              <w:snapToGrid/>
              <w:ind w:left="0" w:leftChars="0" w:firstLine="0" w:firstLineChars="0"/>
              <w:jc w:val="left"/>
              <w:textAlignment w:val="auto"/>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eastAsia="zh-CN"/>
              </w:rPr>
              <w:t>2.乙方按甲方的要求进行管理，严格按照市、区、相关文件要求进行备案、收费、管理；</w:t>
            </w:r>
          </w:p>
          <w:p w14:paraId="4B71B1BD">
            <w:pPr>
              <w:keepNext w:val="0"/>
              <w:keepLines w:val="0"/>
              <w:pageBreakBefore w:val="0"/>
              <w:widowControl w:val="0"/>
              <w:numPr>
                <w:ilvl w:val="0"/>
                <w:numId w:val="0"/>
              </w:numPr>
              <w:kinsoku/>
              <w:wordWrap w:val="0"/>
              <w:overflowPunct/>
              <w:topLinePunct w:val="0"/>
              <w:autoSpaceDE/>
              <w:autoSpaceDN/>
              <w:bidi w:val="0"/>
              <w:adjustRightInd/>
              <w:snapToGrid/>
              <w:ind w:left="0" w:leftChars="0" w:firstLine="0" w:firstLineChars="0"/>
              <w:jc w:val="left"/>
              <w:textAlignment w:val="auto"/>
              <w:rPr>
                <w:rFonts w:hint="eastAsia" w:asciiTheme="minorEastAsia" w:hAnsiTheme="minorEastAsia" w:eastAsiaTheme="minorEastAsia" w:cstheme="minorEastAsia"/>
                <w:sz w:val="24"/>
                <w:szCs w:val="24"/>
                <w:highlight w:val="none"/>
              </w:rPr>
            </w:pPr>
            <w:r>
              <w:rPr>
                <w:rFonts w:hint="eastAsia" w:ascii="宋体" w:hAnsi="宋体" w:eastAsia="宋体" w:cs="宋体"/>
                <w:sz w:val="24"/>
                <w:szCs w:val="24"/>
                <w:highlight w:val="none"/>
                <w:lang w:eastAsia="zh-CN"/>
              </w:rPr>
              <w:t>3.乙方必须在中标通知书发出之日起15个工作日内完成办理本停车场在佛山市停车场管理系统登记备案。</w:t>
            </w:r>
          </w:p>
        </w:tc>
      </w:tr>
    </w:tbl>
    <w:p w14:paraId="541CBD85">
      <w:pPr>
        <w:pStyle w:val="36"/>
        <w:numPr>
          <w:ilvl w:val="0"/>
          <w:numId w:val="28"/>
        </w:numPr>
        <w:spacing w:before="240" w:beforeLines="100" w:after="120" w:afterLines="50" w:line="240" w:lineRule="auto"/>
        <w:ind w:left="624" w:leftChars="0" w:hanging="624" w:firstLineChars="0"/>
        <w:rPr>
          <w:rFonts w:hint="eastAsia" w:ascii="宋体" w:hAnsi="宋体" w:eastAsia="宋体" w:cs="宋体"/>
          <w:b/>
          <w:bCs/>
          <w:sz w:val="24"/>
          <w:szCs w:val="24"/>
          <w:highlight w:val="none"/>
        </w:rPr>
      </w:pPr>
      <w:r>
        <w:rPr>
          <w:rFonts w:hint="eastAsia" w:ascii="宋体" w:hAnsi="宋体" w:eastAsia="宋体" w:cs="宋体"/>
          <w:b/>
          <w:bCs/>
          <w:sz w:val="24"/>
          <w:szCs w:val="24"/>
          <w:highlight w:val="none"/>
          <w:lang w:eastAsia="zh-CN"/>
        </w:rPr>
        <w:t>本项目</w:t>
      </w:r>
      <w:r>
        <w:rPr>
          <w:rFonts w:hint="eastAsia" w:ascii="宋体" w:hAnsi="宋体" w:eastAsia="宋体" w:cs="宋体"/>
          <w:b/>
          <w:bCs/>
          <w:sz w:val="24"/>
          <w:szCs w:val="24"/>
          <w:highlight w:val="none"/>
        </w:rPr>
        <w:t>验收要求</w:t>
      </w:r>
    </w:p>
    <w:p w14:paraId="34F9140E">
      <w:pPr>
        <w:pStyle w:val="31"/>
        <w:numPr>
          <w:ilvl w:val="1"/>
          <w:numId w:val="31"/>
        </w:numPr>
        <w:spacing w:line="360" w:lineRule="auto"/>
        <w:ind w:left="624" w:leftChars="0" w:hanging="624" w:firstLineChars="0"/>
        <w:rPr>
          <w:rFonts w:hint="eastAsia" w:ascii="宋体" w:hAnsi="宋体" w:eastAsia="宋体" w:cs="宋体"/>
          <w:sz w:val="24"/>
          <w:szCs w:val="24"/>
          <w:highlight w:val="none"/>
        </w:rPr>
      </w:pPr>
      <w:r>
        <w:rPr>
          <w:rFonts w:hint="eastAsia" w:ascii="宋体" w:hAnsi="宋体" w:cs="宋体"/>
          <w:sz w:val="24"/>
          <w:szCs w:val="24"/>
          <w:highlight w:val="none"/>
          <w:lang w:val="en-US" w:eastAsia="zh-CN"/>
        </w:rPr>
        <w:t>乙方</w:t>
      </w:r>
      <w:r>
        <w:rPr>
          <w:rFonts w:hint="eastAsia" w:ascii="宋体" w:hAnsi="宋体" w:eastAsia="宋体" w:cs="宋体"/>
          <w:sz w:val="24"/>
          <w:szCs w:val="24"/>
          <w:highlight w:val="none"/>
        </w:rPr>
        <w:t>须为验收提供必需的一切条件及相关费用。</w:t>
      </w:r>
    </w:p>
    <w:p w14:paraId="2E919814">
      <w:pPr>
        <w:pStyle w:val="31"/>
        <w:numPr>
          <w:ilvl w:val="1"/>
          <w:numId w:val="31"/>
        </w:numPr>
        <w:spacing w:line="360" w:lineRule="auto"/>
        <w:ind w:left="624" w:leftChars="0" w:hanging="624" w:firstLineChars="0"/>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rPr>
        <w:t>项目验收依次序对照执行标准</w:t>
      </w:r>
    </w:p>
    <w:p w14:paraId="07B5F718">
      <w:pPr>
        <w:pStyle w:val="31"/>
        <w:numPr>
          <w:ilvl w:val="2"/>
          <w:numId w:val="31"/>
        </w:numPr>
        <w:spacing w:line="360" w:lineRule="auto"/>
        <w:ind w:left="709" w:leftChars="0" w:hanging="289" w:firstLineChars="0"/>
        <w:rPr>
          <w:rFonts w:hint="eastAsia" w:ascii="宋体" w:hAnsi="宋体" w:eastAsia="宋体" w:cs="宋体"/>
          <w:sz w:val="24"/>
          <w:szCs w:val="24"/>
          <w:highlight w:val="none"/>
        </w:rPr>
      </w:pPr>
      <w:r>
        <w:rPr>
          <w:rFonts w:hint="eastAsia" w:ascii="宋体" w:hAnsi="宋体" w:eastAsia="宋体" w:cs="宋体"/>
          <w:sz w:val="24"/>
          <w:szCs w:val="24"/>
          <w:highlight w:val="none"/>
        </w:rPr>
        <w:t>符合中华人民共和国国家和履约地相关安全质量标准、行业技术规范标准。</w:t>
      </w:r>
    </w:p>
    <w:p w14:paraId="1FA88523">
      <w:pPr>
        <w:pStyle w:val="31"/>
        <w:numPr>
          <w:ilvl w:val="2"/>
          <w:numId w:val="31"/>
        </w:numPr>
        <w:spacing w:line="360" w:lineRule="auto"/>
        <w:ind w:left="709" w:leftChars="0" w:hanging="289" w:firstLineChars="0"/>
        <w:rPr>
          <w:rFonts w:hint="eastAsia" w:ascii="宋体" w:hAnsi="宋体" w:eastAsia="宋体" w:cs="宋体"/>
          <w:sz w:val="24"/>
          <w:szCs w:val="24"/>
          <w:highlight w:val="none"/>
        </w:rPr>
      </w:pPr>
      <w:r>
        <w:rPr>
          <w:rFonts w:hint="eastAsia" w:ascii="宋体" w:hAnsi="宋体" w:eastAsia="宋体" w:cs="宋体"/>
          <w:sz w:val="24"/>
          <w:szCs w:val="24"/>
          <w:highlight w:val="none"/>
        </w:rPr>
        <w:t>符合招标文件和投标承诺中各方共同认可的各项合理要求；</w:t>
      </w:r>
    </w:p>
    <w:p w14:paraId="4648512F">
      <w:pPr>
        <w:pStyle w:val="31"/>
        <w:numPr>
          <w:ilvl w:val="2"/>
          <w:numId w:val="31"/>
        </w:numPr>
        <w:spacing w:line="360" w:lineRule="auto"/>
        <w:ind w:left="709" w:leftChars="0" w:hanging="289" w:firstLineChars="0"/>
        <w:rPr>
          <w:rFonts w:hint="eastAsia" w:ascii="宋体" w:hAnsi="宋体" w:eastAsia="宋体" w:cs="宋体"/>
          <w:sz w:val="24"/>
          <w:szCs w:val="24"/>
          <w:highlight w:val="none"/>
          <w:lang w:val="zh-CN"/>
        </w:rPr>
      </w:pPr>
      <w:r>
        <w:rPr>
          <w:rFonts w:hint="eastAsia" w:ascii="宋体" w:hAnsi="宋体" w:eastAsia="宋体" w:cs="宋体"/>
          <w:sz w:val="24"/>
          <w:szCs w:val="24"/>
          <w:highlight w:val="none"/>
        </w:rPr>
        <w:t>上述各类标准与法规必须是有关官方机构最新发布的现行标准版本</w:t>
      </w:r>
      <w:r>
        <w:rPr>
          <w:rFonts w:hint="eastAsia" w:ascii="宋体" w:hAnsi="宋体" w:eastAsia="宋体" w:cs="宋体"/>
          <w:sz w:val="24"/>
          <w:szCs w:val="24"/>
          <w:highlight w:val="none"/>
          <w:lang w:val="zh-CN"/>
        </w:rPr>
        <w:t>。</w:t>
      </w:r>
    </w:p>
    <w:p w14:paraId="7CED4339">
      <w:pPr>
        <w:pStyle w:val="36"/>
        <w:numPr>
          <w:ilvl w:val="0"/>
          <w:numId w:val="28"/>
        </w:numPr>
        <w:spacing w:before="240" w:beforeLines="100" w:after="120" w:afterLines="50" w:line="240" w:lineRule="auto"/>
        <w:ind w:left="624" w:leftChars="0" w:hanging="624" w:firstLineChars="0"/>
        <w:rPr>
          <w:rFonts w:hint="eastAsia" w:ascii="宋体" w:hAnsi="宋体" w:eastAsia="宋体" w:cs="宋体"/>
          <w:b/>
          <w:bCs/>
          <w:sz w:val="24"/>
          <w:szCs w:val="24"/>
          <w:highlight w:val="none"/>
          <w:lang w:eastAsia="zh-CN"/>
        </w:rPr>
      </w:pPr>
      <w:r>
        <w:rPr>
          <w:rFonts w:hint="eastAsia" w:ascii="宋体" w:hAnsi="宋体" w:eastAsia="宋体" w:cs="宋体"/>
          <w:b/>
          <w:bCs/>
          <w:sz w:val="24"/>
          <w:szCs w:val="24"/>
          <w:highlight w:val="none"/>
          <w:lang w:eastAsia="zh-CN"/>
        </w:rPr>
        <w:t>甲方的权利和义务</w:t>
      </w:r>
    </w:p>
    <w:p w14:paraId="58FB7F2B">
      <w:pPr>
        <w:pStyle w:val="36"/>
        <w:numPr>
          <w:ilvl w:val="1"/>
          <w:numId w:val="32"/>
        </w:numPr>
        <w:spacing w:line="360" w:lineRule="auto"/>
        <w:rPr>
          <w:rStyle w:val="38"/>
          <w:rFonts w:hint="eastAsia" w:ascii="宋体" w:hAnsi="宋体" w:eastAsia="宋体" w:cs="宋体"/>
          <w:b w:val="0"/>
          <w:color w:val="auto"/>
          <w:sz w:val="24"/>
          <w:szCs w:val="24"/>
          <w:highlight w:val="none"/>
        </w:rPr>
      </w:pPr>
      <w:r>
        <w:rPr>
          <w:rStyle w:val="38"/>
          <w:rFonts w:hint="eastAsia" w:ascii="宋体" w:hAnsi="宋体" w:eastAsia="宋体" w:cs="宋体"/>
          <w:b w:val="0"/>
          <w:color w:val="auto"/>
          <w:sz w:val="24"/>
          <w:szCs w:val="24"/>
          <w:highlight w:val="none"/>
        </w:rPr>
        <w:t>甲方有权向乙方提出采购项目服务的意见和建议。</w:t>
      </w:r>
    </w:p>
    <w:p w14:paraId="000ACE56">
      <w:pPr>
        <w:pStyle w:val="36"/>
        <w:numPr>
          <w:ilvl w:val="1"/>
          <w:numId w:val="32"/>
        </w:numPr>
        <w:spacing w:line="360" w:lineRule="auto"/>
        <w:rPr>
          <w:rStyle w:val="38"/>
          <w:rFonts w:hint="eastAsia" w:ascii="宋体" w:hAnsi="宋体" w:eastAsia="宋体" w:cs="宋体"/>
          <w:b w:val="0"/>
          <w:color w:val="auto"/>
          <w:sz w:val="24"/>
          <w:szCs w:val="24"/>
          <w:highlight w:val="none"/>
        </w:rPr>
      </w:pPr>
      <w:r>
        <w:rPr>
          <w:rStyle w:val="38"/>
          <w:rFonts w:hint="eastAsia" w:ascii="宋体" w:hAnsi="宋体" w:eastAsia="宋体" w:cs="宋体"/>
          <w:b w:val="0"/>
          <w:color w:val="auto"/>
          <w:sz w:val="24"/>
          <w:szCs w:val="24"/>
          <w:highlight w:val="none"/>
        </w:rPr>
        <w:t>甲方有义务配合乙方做好各项日常管理工作，乙方应根据甲方建议制定有关管理制度和措施执行。甲方有权对乙方的管理方案进行检查及合理修改，共同优化管理工作。</w:t>
      </w:r>
    </w:p>
    <w:p w14:paraId="7EA435C9">
      <w:pPr>
        <w:pStyle w:val="36"/>
        <w:numPr>
          <w:ilvl w:val="1"/>
          <w:numId w:val="32"/>
        </w:numPr>
        <w:spacing w:line="360" w:lineRule="auto"/>
        <w:rPr>
          <w:rStyle w:val="38"/>
          <w:rFonts w:hint="eastAsia" w:ascii="宋体" w:hAnsi="宋体" w:eastAsia="宋体" w:cs="宋体"/>
          <w:b w:val="0"/>
          <w:color w:val="auto"/>
          <w:sz w:val="24"/>
          <w:szCs w:val="24"/>
          <w:highlight w:val="none"/>
        </w:rPr>
      </w:pPr>
      <w:r>
        <w:rPr>
          <w:rStyle w:val="38"/>
          <w:rFonts w:hint="eastAsia" w:ascii="宋体" w:hAnsi="宋体" w:eastAsia="宋体" w:cs="宋体"/>
          <w:b w:val="0"/>
          <w:color w:val="auto"/>
          <w:sz w:val="24"/>
          <w:szCs w:val="24"/>
          <w:highlight w:val="none"/>
        </w:rPr>
        <w:t>甲方有权对乙方的日常管理工作进行监管检查，每季度进行一次全面考核评定，如乙方因管理不善或管理失误，给甲方造成严重负面影响或导致经济受损的，甲方有权单方面终止合同，并视乙方根本违约处理（</w:t>
      </w:r>
      <w:r>
        <w:rPr>
          <w:rStyle w:val="38"/>
          <w:rFonts w:hint="eastAsia" w:ascii="宋体" w:hAnsi="宋体" w:cs="宋体"/>
          <w:b w:val="0"/>
          <w:color w:val="auto"/>
          <w:sz w:val="24"/>
          <w:szCs w:val="24"/>
          <w:highlight w:val="none"/>
          <w:lang w:eastAsia="zh-CN"/>
        </w:rPr>
        <w:t>不予退还合同履约保证金</w:t>
      </w:r>
      <w:r>
        <w:rPr>
          <w:rStyle w:val="38"/>
          <w:rFonts w:hint="eastAsia" w:ascii="宋体" w:hAnsi="宋体" w:eastAsia="宋体" w:cs="宋体"/>
          <w:b w:val="0"/>
          <w:color w:val="auto"/>
          <w:sz w:val="24"/>
          <w:szCs w:val="24"/>
          <w:highlight w:val="none"/>
        </w:rPr>
        <w:t>和不退回已交的服务费，乙方投入建设安装的一切设施设备无偿归甲方所有，并赔偿甲方的经济损失）。</w:t>
      </w:r>
    </w:p>
    <w:p w14:paraId="0C0C9B7E">
      <w:pPr>
        <w:pStyle w:val="36"/>
        <w:numPr>
          <w:ilvl w:val="1"/>
          <w:numId w:val="32"/>
        </w:numPr>
        <w:spacing w:line="360" w:lineRule="auto"/>
        <w:rPr>
          <w:rStyle w:val="38"/>
          <w:rFonts w:hint="eastAsia" w:ascii="宋体" w:hAnsi="宋体" w:eastAsia="宋体" w:cs="宋体"/>
          <w:b w:val="0"/>
          <w:color w:val="auto"/>
          <w:sz w:val="24"/>
          <w:szCs w:val="24"/>
          <w:highlight w:val="none"/>
        </w:rPr>
      </w:pPr>
      <w:r>
        <w:rPr>
          <w:rStyle w:val="38"/>
          <w:rFonts w:hint="eastAsia" w:ascii="宋体" w:hAnsi="宋体" w:eastAsia="宋体" w:cs="宋体"/>
          <w:b w:val="0"/>
          <w:color w:val="auto"/>
          <w:sz w:val="24"/>
          <w:szCs w:val="24"/>
          <w:highlight w:val="none"/>
        </w:rPr>
        <w:t>甲方为确保其依法具有收取车辆管理费的资格及权利，已严格按照有关法律程序研究制定出相关的收费及管理的村规民约，并经党员及村民代表大会表决通过及予以公布后实施，以便于乙方按规定管理及收费。在收费过程中所产生的纠纷投诉，乙方应自行负责处理。重大事件甲方有义务协助处理。</w:t>
      </w:r>
    </w:p>
    <w:p w14:paraId="56A541CA">
      <w:pPr>
        <w:pStyle w:val="36"/>
        <w:numPr>
          <w:ilvl w:val="1"/>
          <w:numId w:val="32"/>
        </w:numPr>
        <w:spacing w:line="360" w:lineRule="auto"/>
        <w:rPr>
          <w:rFonts w:hint="eastAsia"/>
          <w:b/>
          <w:szCs w:val="21"/>
          <w:highlight w:val="none"/>
        </w:rPr>
      </w:pPr>
      <w:r>
        <w:rPr>
          <w:rStyle w:val="38"/>
          <w:rFonts w:hint="eastAsia" w:ascii="宋体" w:hAnsi="宋体" w:eastAsia="宋体" w:cs="宋体"/>
          <w:b w:val="0"/>
          <w:color w:val="auto"/>
          <w:sz w:val="24"/>
          <w:szCs w:val="24"/>
          <w:highlight w:val="none"/>
        </w:rPr>
        <w:t>甲方对本辖区内的所有土地拥有使用权，乙方如需规划增设停车位置时必经甲方同意。设置停车位置的土地，如遇甲方开发使用时，乙方无条件配合执行。</w:t>
      </w:r>
    </w:p>
    <w:p w14:paraId="065CAA40">
      <w:pPr>
        <w:pStyle w:val="36"/>
        <w:numPr>
          <w:ilvl w:val="0"/>
          <w:numId w:val="28"/>
        </w:numPr>
        <w:spacing w:before="240" w:beforeLines="100" w:after="120" w:afterLines="50" w:line="240" w:lineRule="auto"/>
        <w:ind w:left="624" w:leftChars="0" w:hanging="624" w:firstLineChars="0"/>
        <w:rPr>
          <w:rFonts w:hint="eastAsia" w:ascii="宋体" w:hAnsi="宋体" w:eastAsia="宋体" w:cs="宋体"/>
          <w:b/>
          <w:bCs/>
          <w:sz w:val="24"/>
          <w:szCs w:val="24"/>
          <w:highlight w:val="none"/>
          <w:lang w:eastAsia="zh-CN"/>
        </w:rPr>
      </w:pPr>
      <w:r>
        <w:rPr>
          <w:rFonts w:hint="eastAsia" w:ascii="宋体" w:hAnsi="宋体" w:eastAsia="宋体" w:cs="宋体"/>
          <w:b/>
          <w:bCs/>
          <w:sz w:val="24"/>
          <w:szCs w:val="24"/>
          <w:highlight w:val="none"/>
          <w:lang w:eastAsia="zh-CN"/>
        </w:rPr>
        <w:t>乙方的权利和义务</w:t>
      </w:r>
    </w:p>
    <w:p w14:paraId="0DBCAE91">
      <w:pPr>
        <w:pStyle w:val="31"/>
        <w:numPr>
          <w:ilvl w:val="1"/>
          <w:numId w:val="33"/>
        </w:numPr>
        <w:tabs>
          <w:tab w:val="left" w:pos="420"/>
        </w:tabs>
        <w:spacing w:line="360" w:lineRule="auto"/>
        <w:ind w:left="424" w:leftChars="0" w:hanging="424" w:firstLineChars="0"/>
        <w:rPr>
          <w:rFonts w:hint="eastAsia" w:ascii="宋体" w:hAnsi="宋体" w:eastAsia="宋体" w:cs="宋体"/>
          <w:sz w:val="24"/>
          <w:szCs w:val="24"/>
          <w:highlight w:val="none"/>
          <w:lang w:val="en-US" w:eastAsia="zh-CN"/>
        </w:rPr>
      </w:pPr>
      <w:r>
        <w:rPr>
          <w:rFonts w:hint="eastAsia" w:ascii="宋体" w:hAnsi="宋体" w:cs="宋体"/>
          <w:sz w:val="24"/>
          <w:szCs w:val="24"/>
          <w:highlight w:val="none"/>
          <w:lang w:val="en-US" w:eastAsia="zh-CN"/>
        </w:rPr>
        <w:t>乙方</w:t>
      </w:r>
      <w:r>
        <w:rPr>
          <w:rFonts w:hint="eastAsia" w:ascii="宋体" w:hAnsi="宋体" w:eastAsia="宋体" w:cs="宋体"/>
          <w:sz w:val="24"/>
          <w:szCs w:val="24"/>
          <w:highlight w:val="none"/>
          <w:lang w:val="en-US" w:eastAsia="zh-CN"/>
        </w:rPr>
        <w:t>要根据国家的有关法律、法规、政策及</w:t>
      </w:r>
      <w:r>
        <w:rPr>
          <w:rFonts w:hint="eastAsia" w:ascii="宋体" w:hAnsi="宋体" w:cs="宋体"/>
          <w:sz w:val="24"/>
          <w:szCs w:val="24"/>
          <w:highlight w:val="none"/>
          <w:lang w:val="en-US" w:eastAsia="zh-CN"/>
        </w:rPr>
        <w:t>合同</w:t>
      </w:r>
      <w:r>
        <w:rPr>
          <w:rFonts w:hint="eastAsia" w:ascii="宋体" w:hAnsi="宋体" w:eastAsia="宋体" w:cs="宋体"/>
          <w:sz w:val="24"/>
          <w:szCs w:val="24"/>
          <w:highlight w:val="none"/>
          <w:lang w:val="en-US" w:eastAsia="zh-CN"/>
        </w:rPr>
        <w:t>的有关规定，在不违反</w:t>
      </w:r>
      <w:r>
        <w:rPr>
          <w:rFonts w:hint="eastAsia" w:ascii="宋体" w:hAnsi="宋体" w:cs="宋体"/>
          <w:sz w:val="24"/>
          <w:szCs w:val="24"/>
          <w:highlight w:val="none"/>
          <w:lang w:val="en-US" w:eastAsia="zh-CN"/>
        </w:rPr>
        <w:t>合同</w:t>
      </w:r>
      <w:r>
        <w:rPr>
          <w:rFonts w:hint="eastAsia" w:ascii="宋体" w:hAnsi="宋体" w:eastAsia="宋体" w:cs="宋体"/>
          <w:sz w:val="24"/>
          <w:szCs w:val="24"/>
          <w:highlight w:val="none"/>
          <w:lang w:val="en-US" w:eastAsia="zh-CN"/>
        </w:rPr>
        <w:t>规定的基础上，自行制定有关规章制度车辆管理办法、实施细则等规定，</w:t>
      </w:r>
      <w:r>
        <w:rPr>
          <w:rFonts w:hint="eastAsia" w:ascii="宋体" w:hAnsi="宋体" w:cs="宋体"/>
          <w:sz w:val="24"/>
          <w:szCs w:val="24"/>
          <w:highlight w:val="none"/>
          <w:lang w:val="en-US" w:eastAsia="zh-CN"/>
        </w:rPr>
        <w:t>乙方</w:t>
      </w:r>
      <w:r>
        <w:rPr>
          <w:rFonts w:hint="eastAsia" w:ascii="宋体" w:hAnsi="宋体" w:eastAsia="宋体" w:cs="宋体"/>
          <w:sz w:val="24"/>
          <w:szCs w:val="24"/>
          <w:highlight w:val="none"/>
          <w:lang w:val="en-US" w:eastAsia="zh-CN"/>
        </w:rPr>
        <w:t>的管理工作不得影响</w:t>
      </w:r>
      <w:r>
        <w:rPr>
          <w:rFonts w:hint="eastAsia" w:ascii="宋体" w:hAnsi="宋体" w:cs="宋体"/>
          <w:sz w:val="24"/>
          <w:szCs w:val="24"/>
          <w:highlight w:val="none"/>
          <w:lang w:val="en-US" w:eastAsia="zh-CN"/>
        </w:rPr>
        <w:t>甲方</w:t>
      </w:r>
      <w:r>
        <w:rPr>
          <w:rFonts w:hint="eastAsia" w:ascii="宋体" w:hAnsi="宋体" w:eastAsia="宋体" w:cs="宋体"/>
          <w:sz w:val="24"/>
          <w:szCs w:val="24"/>
          <w:highlight w:val="none"/>
          <w:lang w:val="en-US" w:eastAsia="zh-CN"/>
        </w:rPr>
        <w:t>工作人员的日常正常工作。</w:t>
      </w:r>
    </w:p>
    <w:p w14:paraId="4CF181CE">
      <w:pPr>
        <w:pStyle w:val="31"/>
        <w:numPr>
          <w:ilvl w:val="1"/>
          <w:numId w:val="33"/>
        </w:numPr>
        <w:tabs>
          <w:tab w:val="left" w:pos="420"/>
        </w:tabs>
        <w:spacing w:line="360" w:lineRule="auto"/>
        <w:ind w:left="424" w:leftChars="0" w:hanging="424" w:firstLineChars="0"/>
        <w:rPr>
          <w:rFonts w:hint="eastAsia" w:ascii="宋体" w:hAnsi="宋体" w:eastAsia="宋体" w:cs="宋体"/>
          <w:sz w:val="24"/>
          <w:szCs w:val="24"/>
          <w:highlight w:val="none"/>
          <w:lang w:val="en-US" w:eastAsia="zh-CN"/>
        </w:rPr>
      </w:pPr>
      <w:r>
        <w:rPr>
          <w:rFonts w:hint="eastAsia" w:ascii="宋体" w:hAnsi="宋体" w:cs="宋体"/>
          <w:sz w:val="24"/>
          <w:szCs w:val="24"/>
          <w:highlight w:val="none"/>
          <w:lang w:val="en-US" w:eastAsia="zh-CN"/>
        </w:rPr>
        <w:t>乙方</w:t>
      </w:r>
      <w:r>
        <w:rPr>
          <w:rFonts w:hint="eastAsia" w:ascii="宋体" w:hAnsi="宋体" w:eastAsia="宋体" w:cs="宋体"/>
          <w:sz w:val="24"/>
          <w:szCs w:val="24"/>
          <w:highlight w:val="none"/>
          <w:lang w:val="en-US" w:eastAsia="zh-CN"/>
        </w:rPr>
        <w:t>要严格按照</w:t>
      </w:r>
      <w:r>
        <w:rPr>
          <w:rFonts w:hint="eastAsia" w:ascii="宋体" w:hAnsi="宋体" w:cs="宋体"/>
          <w:sz w:val="24"/>
          <w:szCs w:val="24"/>
          <w:highlight w:val="none"/>
          <w:lang w:val="en-US" w:eastAsia="zh-CN"/>
        </w:rPr>
        <w:t>甲方</w:t>
      </w:r>
      <w:r>
        <w:rPr>
          <w:rFonts w:hint="eastAsia" w:ascii="宋体" w:hAnsi="宋体" w:eastAsia="宋体" w:cs="宋体"/>
          <w:sz w:val="24"/>
          <w:szCs w:val="24"/>
          <w:highlight w:val="none"/>
          <w:lang w:val="en-US" w:eastAsia="zh-CN"/>
        </w:rPr>
        <w:t>制定的车辆管理收费标准进行收取车辆管理费。并提供优质的停车管理及道路交通管理服务，不得出现只收费不服务或多收费少服务的行为，如发现有，经指出不改的，视为</w:t>
      </w:r>
      <w:r>
        <w:rPr>
          <w:rFonts w:hint="eastAsia" w:ascii="宋体" w:hAnsi="宋体" w:cs="宋体"/>
          <w:sz w:val="24"/>
          <w:szCs w:val="24"/>
          <w:highlight w:val="none"/>
          <w:lang w:val="en-US" w:eastAsia="zh-CN"/>
        </w:rPr>
        <w:t>乙方</w:t>
      </w:r>
      <w:r>
        <w:rPr>
          <w:rFonts w:hint="eastAsia" w:ascii="宋体" w:hAnsi="宋体" w:eastAsia="宋体" w:cs="宋体"/>
          <w:sz w:val="24"/>
          <w:szCs w:val="24"/>
          <w:highlight w:val="none"/>
          <w:lang w:val="en-US" w:eastAsia="zh-CN"/>
        </w:rPr>
        <w:t>根本违约，</w:t>
      </w:r>
      <w:r>
        <w:rPr>
          <w:rFonts w:hint="eastAsia" w:ascii="宋体" w:hAnsi="宋体" w:cs="宋体"/>
          <w:sz w:val="24"/>
          <w:szCs w:val="24"/>
          <w:highlight w:val="none"/>
          <w:lang w:val="en-US" w:eastAsia="zh-CN"/>
        </w:rPr>
        <w:t>甲方</w:t>
      </w:r>
      <w:r>
        <w:rPr>
          <w:rFonts w:hint="eastAsia" w:ascii="宋体" w:hAnsi="宋体" w:eastAsia="宋体" w:cs="宋体"/>
          <w:sz w:val="24"/>
          <w:szCs w:val="24"/>
          <w:highlight w:val="none"/>
          <w:lang w:val="en-US" w:eastAsia="zh-CN"/>
        </w:rPr>
        <w:t>有权单方面解除合同，</w:t>
      </w:r>
      <w:r>
        <w:rPr>
          <w:rFonts w:hint="eastAsia" w:ascii="宋体" w:hAnsi="宋体" w:cs="宋体"/>
          <w:sz w:val="24"/>
          <w:szCs w:val="24"/>
          <w:highlight w:val="none"/>
          <w:lang w:val="en-US" w:eastAsia="zh-CN"/>
        </w:rPr>
        <w:t>不予退还合同履约保证金</w:t>
      </w:r>
      <w:r>
        <w:rPr>
          <w:rFonts w:hint="eastAsia" w:ascii="宋体" w:hAnsi="宋体" w:eastAsia="宋体" w:cs="宋体"/>
          <w:sz w:val="24"/>
          <w:szCs w:val="24"/>
          <w:highlight w:val="none"/>
          <w:lang w:val="en-US" w:eastAsia="zh-CN"/>
        </w:rPr>
        <w:t>和不退回已交的服务费，</w:t>
      </w:r>
      <w:r>
        <w:rPr>
          <w:rFonts w:hint="eastAsia" w:ascii="宋体" w:hAnsi="宋体" w:cs="宋体"/>
          <w:sz w:val="24"/>
          <w:szCs w:val="24"/>
          <w:highlight w:val="none"/>
          <w:lang w:val="en-US" w:eastAsia="zh-CN"/>
        </w:rPr>
        <w:t>乙方</w:t>
      </w:r>
      <w:r>
        <w:rPr>
          <w:rFonts w:hint="eastAsia" w:ascii="宋体" w:hAnsi="宋体" w:eastAsia="宋体" w:cs="宋体"/>
          <w:sz w:val="24"/>
          <w:szCs w:val="24"/>
          <w:highlight w:val="none"/>
          <w:lang w:val="en-US" w:eastAsia="zh-CN"/>
        </w:rPr>
        <w:t>投入建设安装的一切设施设备无偿归</w:t>
      </w:r>
      <w:r>
        <w:rPr>
          <w:rFonts w:hint="eastAsia" w:ascii="宋体" w:hAnsi="宋体" w:cs="宋体"/>
          <w:sz w:val="24"/>
          <w:szCs w:val="24"/>
          <w:highlight w:val="none"/>
          <w:lang w:val="en-US" w:eastAsia="zh-CN"/>
        </w:rPr>
        <w:t>甲方</w:t>
      </w:r>
      <w:r>
        <w:rPr>
          <w:rFonts w:hint="eastAsia" w:ascii="宋体" w:hAnsi="宋体" w:eastAsia="宋体" w:cs="宋体"/>
          <w:sz w:val="24"/>
          <w:szCs w:val="24"/>
          <w:highlight w:val="none"/>
          <w:lang w:val="en-US" w:eastAsia="zh-CN"/>
        </w:rPr>
        <w:t>所有。</w:t>
      </w:r>
    </w:p>
    <w:p w14:paraId="7D48EBCF">
      <w:pPr>
        <w:pStyle w:val="31"/>
        <w:numPr>
          <w:ilvl w:val="1"/>
          <w:numId w:val="33"/>
        </w:numPr>
        <w:tabs>
          <w:tab w:val="left" w:pos="420"/>
        </w:tabs>
        <w:spacing w:line="360" w:lineRule="auto"/>
        <w:ind w:left="424" w:leftChars="0" w:hanging="424" w:firstLineChars="0"/>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为了日常管理工作能正常运作，</w:t>
      </w:r>
      <w:r>
        <w:rPr>
          <w:rFonts w:hint="eastAsia" w:ascii="宋体" w:hAnsi="宋体" w:cs="宋体"/>
          <w:sz w:val="24"/>
          <w:szCs w:val="24"/>
          <w:highlight w:val="none"/>
          <w:lang w:val="en-US" w:eastAsia="zh-CN"/>
        </w:rPr>
        <w:t>乙方</w:t>
      </w:r>
      <w:r>
        <w:rPr>
          <w:rFonts w:hint="eastAsia" w:ascii="宋体" w:hAnsi="宋体" w:eastAsia="宋体" w:cs="宋体"/>
          <w:sz w:val="24"/>
          <w:szCs w:val="24"/>
          <w:highlight w:val="none"/>
          <w:lang w:val="en-US" w:eastAsia="zh-CN"/>
        </w:rPr>
        <w:t>必须根据工作需要配置足够的工作人员（不少于3人）并办理好用工手续及购买意外保险。</w:t>
      </w:r>
      <w:r>
        <w:rPr>
          <w:rFonts w:hint="eastAsia" w:ascii="宋体" w:hAnsi="宋体" w:cs="宋体"/>
          <w:sz w:val="24"/>
          <w:szCs w:val="24"/>
          <w:highlight w:val="none"/>
          <w:lang w:val="en-US" w:eastAsia="zh-CN"/>
        </w:rPr>
        <w:t>乙方</w:t>
      </w:r>
      <w:r>
        <w:rPr>
          <w:rFonts w:hint="eastAsia" w:ascii="宋体" w:hAnsi="宋体" w:eastAsia="宋体" w:cs="宋体"/>
          <w:sz w:val="24"/>
          <w:szCs w:val="24"/>
          <w:highlight w:val="none"/>
          <w:lang w:val="en-US" w:eastAsia="zh-CN"/>
        </w:rPr>
        <w:t>员工不纳入</w:t>
      </w:r>
      <w:r>
        <w:rPr>
          <w:rFonts w:hint="eastAsia" w:ascii="宋体" w:hAnsi="宋体" w:cs="宋体"/>
          <w:sz w:val="24"/>
          <w:szCs w:val="24"/>
          <w:highlight w:val="none"/>
          <w:lang w:val="en-US" w:eastAsia="zh-CN"/>
        </w:rPr>
        <w:t>甲方</w:t>
      </w:r>
      <w:r>
        <w:rPr>
          <w:rFonts w:hint="eastAsia" w:ascii="宋体" w:hAnsi="宋体" w:eastAsia="宋体" w:cs="宋体"/>
          <w:sz w:val="24"/>
          <w:szCs w:val="24"/>
          <w:highlight w:val="none"/>
          <w:lang w:val="en-US" w:eastAsia="zh-CN"/>
        </w:rPr>
        <w:t>用工编制，不享受</w:t>
      </w:r>
      <w:r>
        <w:rPr>
          <w:rFonts w:hint="eastAsia" w:ascii="宋体" w:hAnsi="宋体" w:cs="宋体"/>
          <w:sz w:val="24"/>
          <w:szCs w:val="24"/>
          <w:highlight w:val="none"/>
          <w:lang w:val="en-US" w:eastAsia="zh-CN"/>
        </w:rPr>
        <w:t>甲方</w:t>
      </w:r>
      <w:r>
        <w:rPr>
          <w:rFonts w:hint="eastAsia" w:ascii="宋体" w:hAnsi="宋体" w:eastAsia="宋体" w:cs="宋体"/>
          <w:sz w:val="24"/>
          <w:szCs w:val="24"/>
          <w:highlight w:val="none"/>
          <w:lang w:val="en-US" w:eastAsia="zh-CN"/>
        </w:rPr>
        <w:t>员工的福利待遇，与</w:t>
      </w:r>
      <w:r>
        <w:rPr>
          <w:rFonts w:hint="eastAsia" w:ascii="宋体" w:hAnsi="宋体" w:cs="宋体"/>
          <w:sz w:val="24"/>
          <w:szCs w:val="24"/>
          <w:highlight w:val="none"/>
          <w:lang w:val="en-US" w:eastAsia="zh-CN"/>
        </w:rPr>
        <w:t>甲方</w:t>
      </w:r>
      <w:r>
        <w:rPr>
          <w:rFonts w:hint="eastAsia" w:ascii="宋体" w:hAnsi="宋体" w:eastAsia="宋体" w:cs="宋体"/>
          <w:sz w:val="24"/>
          <w:szCs w:val="24"/>
          <w:highlight w:val="none"/>
          <w:lang w:val="en-US" w:eastAsia="zh-CN"/>
        </w:rPr>
        <w:t>不成立劳动或劳务关系。</w:t>
      </w:r>
      <w:r>
        <w:rPr>
          <w:rFonts w:hint="eastAsia" w:ascii="宋体" w:hAnsi="宋体" w:cs="宋体"/>
          <w:sz w:val="24"/>
          <w:szCs w:val="24"/>
          <w:highlight w:val="none"/>
          <w:lang w:val="en-US" w:eastAsia="zh-CN"/>
        </w:rPr>
        <w:t>乙方</w:t>
      </w:r>
      <w:r>
        <w:rPr>
          <w:rFonts w:hint="eastAsia" w:ascii="宋体" w:hAnsi="宋体" w:eastAsia="宋体" w:cs="宋体"/>
          <w:sz w:val="24"/>
          <w:szCs w:val="24"/>
          <w:highlight w:val="none"/>
          <w:lang w:val="en-US" w:eastAsia="zh-CN"/>
        </w:rPr>
        <w:t>工作人员在合同期内所发生的安全事故、工伤及劳资纠纷等均由</w:t>
      </w:r>
      <w:r>
        <w:rPr>
          <w:rFonts w:hint="eastAsia" w:ascii="宋体" w:hAnsi="宋体" w:cs="宋体"/>
          <w:sz w:val="24"/>
          <w:szCs w:val="24"/>
          <w:highlight w:val="none"/>
          <w:lang w:val="en-US" w:eastAsia="zh-CN"/>
        </w:rPr>
        <w:t>乙方</w:t>
      </w:r>
      <w:r>
        <w:rPr>
          <w:rFonts w:hint="eastAsia" w:ascii="宋体" w:hAnsi="宋体" w:eastAsia="宋体" w:cs="宋体"/>
          <w:sz w:val="24"/>
          <w:szCs w:val="24"/>
          <w:highlight w:val="none"/>
          <w:lang w:val="en-US" w:eastAsia="zh-CN"/>
        </w:rPr>
        <w:t>负责，一切责任与</w:t>
      </w:r>
      <w:r>
        <w:rPr>
          <w:rFonts w:hint="eastAsia" w:ascii="宋体" w:hAnsi="宋体" w:cs="宋体"/>
          <w:sz w:val="24"/>
          <w:szCs w:val="24"/>
          <w:highlight w:val="none"/>
          <w:lang w:val="en-US" w:eastAsia="zh-CN"/>
        </w:rPr>
        <w:t>甲方</w:t>
      </w:r>
      <w:r>
        <w:rPr>
          <w:rFonts w:hint="eastAsia" w:ascii="宋体" w:hAnsi="宋体" w:eastAsia="宋体" w:cs="宋体"/>
          <w:sz w:val="24"/>
          <w:szCs w:val="24"/>
          <w:highlight w:val="none"/>
          <w:lang w:val="en-US" w:eastAsia="zh-CN"/>
        </w:rPr>
        <w:t>无关，如屡屡出现人手不足的现象，视为</w:t>
      </w:r>
      <w:r>
        <w:rPr>
          <w:rFonts w:hint="eastAsia" w:ascii="宋体" w:hAnsi="宋体" w:cs="宋体"/>
          <w:sz w:val="24"/>
          <w:szCs w:val="24"/>
          <w:highlight w:val="none"/>
          <w:lang w:val="en-US" w:eastAsia="zh-CN"/>
        </w:rPr>
        <w:t>乙方</w:t>
      </w:r>
      <w:r>
        <w:rPr>
          <w:rFonts w:hint="eastAsia" w:ascii="宋体" w:hAnsi="宋体" w:eastAsia="宋体" w:cs="宋体"/>
          <w:sz w:val="24"/>
          <w:szCs w:val="24"/>
          <w:highlight w:val="none"/>
          <w:lang w:val="en-US" w:eastAsia="zh-CN"/>
        </w:rPr>
        <w:t>根本违约，</w:t>
      </w:r>
      <w:r>
        <w:rPr>
          <w:rFonts w:hint="eastAsia" w:ascii="宋体" w:hAnsi="宋体" w:cs="宋体"/>
          <w:sz w:val="24"/>
          <w:szCs w:val="24"/>
          <w:highlight w:val="none"/>
          <w:lang w:val="en-US" w:eastAsia="zh-CN"/>
        </w:rPr>
        <w:t>甲方</w:t>
      </w:r>
      <w:r>
        <w:rPr>
          <w:rFonts w:hint="eastAsia" w:ascii="宋体" w:hAnsi="宋体" w:eastAsia="宋体" w:cs="宋体"/>
          <w:sz w:val="24"/>
          <w:szCs w:val="24"/>
          <w:highlight w:val="none"/>
          <w:lang w:val="en-US" w:eastAsia="zh-CN"/>
        </w:rPr>
        <w:t>有权单方面解除合同，</w:t>
      </w:r>
      <w:r>
        <w:rPr>
          <w:rFonts w:hint="eastAsia" w:ascii="宋体" w:hAnsi="宋体" w:cs="宋体"/>
          <w:sz w:val="24"/>
          <w:szCs w:val="24"/>
          <w:highlight w:val="none"/>
          <w:lang w:val="en-US" w:eastAsia="zh-CN"/>
        </w:rPr>
        <w:t>不予退还合同履约保证金</w:t>
      </w:r>
      <w:r>
        <w:rPr>
          <w:rFonts w:hint="eastAsia" w:ascii="宋体" w:hAnsi="宋体" w:eastAsia="宋体" w:cs="宋体"/>
          <w:sz w:val="24"/>
          <w:szCs w:val="24"/>
          <w:highlight w:val="none"/>
          <w:lang w:val="en-US" w:eastAsia="zh-CN"/>
        </w:rPr>
        <w:t>和不退回已交的服务费，</w:t>
      </w:r>
      <w:r>
        <w:rPr>
          <w:rFonts w:hint="eastAsia" w:ascii="宋体" w:hAnsi="宋体" w:cs="宋体"/>
          <w:sz w:val="24"/>
          <w:szCs w:val="24"/>
          <w:highlight w:val="none"/>
          <w:lang w:val="en-US" w:eastAsia="zh-CN"/>
        </w:rPr>
        <w:t>乙方</w:t>
      </w:r>
      <w:r>
        <w:rPr>
          <w:rFonts w:hint="eastAsia" w:ascii="宋体" w:hAnsi="宋体" w:eastAsia="宋体" w:cs="宋体"/>
          <w:sz w:val="24"/>
          <w:szCs w:val="24"/>
          <w:highlight w:val="none"/>
          <w:lang w:val="en-US" w:eastAsia="zh-CN"/>
        </w:rPr>
        <w:t>投入建设安装的一切设施设备无偿归</w:t>
      </w:r>
      <w:r>
        <w:rPr>
          <w:rFonts w:hint="eastAsia" w:ascii="宋体" w:hAnsi="宋体" w:cs="宋体"/>
          <w:sz w:val="24"/>
          <w:szCs w:val="24"/>
          <w:highlight w:val="none"/>
          <w:lang w:val="en-US" w:eastAsia="zh-CN"/>
        </w:rPr>
        <w:t>甲方</w:t>
      </w:r>
      <w:r>
        <w:rPr>
          <w:rFonts w:hint="eastAsia" w:ascii="宋体" w:hAnsi="宋体" w:eastAsia="宋体" w:cs="宋体"/>
          <w:sz w:val="24"/>
          <w:szCs w:val="24"/>
          <w:highlight w:val="none"/>
          <w:lang w:val="en-US" w:eastAsia="zh-CN"/>
        </w:rPr>
        <w:t>所有。</w:t>
      </w:r>
    </w:p>
    <w:p w14:paraId="192C6CC3">
      <w:pPr>
        <w:pStyle w:val="31"/>
        <w:numPr>
          <w:ilvl w:val="1"/>
          <w:numId w:val="33"/>
        </w:numPr>
        <w:tabs>
          <w:tab w:val="left" w:pos="420"/>
        </w:tabs>
        <w:spacing w:line="360" w:lineRule="auto"/>
        <w:ind w:left="424" w:leftChars="0" w:hanging="424" w:firstLineChars="0"/>
        <w:rPr>
          <w:rFonts w:hint="eastAsia" w:ascii="宋体" w:hAnsi="宋体" w:eastAsia="宋体" w:cs="宋体"/>
          <w:sz w:val="24"/>
          <w:szCs w:val="24"/>
          <w:highlight w:val="none"/>
          <w:lang w:val="en-US" w:eastAsia="zh-CN"/>
        </w:rPr>
      </w:pPr>
      <w:r>
        <w:rPr>
          <w:rFonts w:hint="eastAsia" w:ascii="宋体" w:hAnsi="宋体" w:cs="宋体"/>
          <w:sz w:val="24"/>
          <w:szCs w:val="24"/>
          <w:highlight w:val="none"/>
          <w:lang w:val="en-US" w:eastAsia="zh-CN"/>
        </w:rPr>
        <w:t>乙方</w:t>
      </w:r>
      <w:r>
        <w:rPr>
          <w:rFonts w:hint="eastAsia" w:ascii="宋体" w:hAnsi="宋体" w:eastAsia="宋体" w:cs="宋体"/>
          <w:sz w:val="24"/>
          <w:szCs w:val="24"/>
          <w:highlight w:val="none"/>
          <w:lang w:val="en-US" w:eastAsia="zh-CN"/>
        </w:rPr>
        <w:t>要严格督促工作人员做好辖区内的日常道路交通管理巡查工作，确保村内各道闸出入口及各大小村道时刻保持畅通无阻，不得出现有车辆因乱停放而导致阻塞交通的现象发生。如出现有阻塞现象应派人到现场及时处理，如出现有15分钟后还没有人处理的现象，</w:t>
      </w:r>
      <w:r>
        <w:rPr>
          <w:rFonts w:hint="eastAsia" w:ascii="宋体" w:hAnsi="宋体" w:cs="宋体"/>
          <w:sz w:val="24"/>
          <w:szCs w:val="24"/>
          <w:highlight w:val="none"/>
          <w:lang w:val="en-US" w:eastAsia="zh-CN"/>
        </w:rPr>
        <w:t>甲方</w:t>
      </w:r>
      <w:r>
        <w:rPr>
          <w:rFonts w:hint="eastAsia" w:ascii="宋体" w:hAnsi="宋体" w:eastAsia="宋体" w:cs="宋体"/>
          <w:sz w:val="24"/>
          <w:szCs w:val="24"/>
          <w:highlight w:val="none"/>
          <w:lang w:val="en-US" w:eastAsia="zh-CN"/>
        </w:rPr>
        <w:t>有权收取</w:t>
      </w:r>
      <w:r>
        <w:rPr>
          <w:rFonts w:hint="eastAsia" w:ascii="宋体" w:hAnsi="宋体" w:cs="宋体"/>
          <w:sz w:val="24"/>
          <w:szCs w:val="24"/>
          <w:highlight w:val="none"/>
          <w:lang w:val="en-US" w:eastAsia="zh-CN"/>
        </w:rPr>
        <w:t>乙方</w:t>
      </w:r>
      <w:r>
        <w:rPr>
          <w:rFonts w:hint="eastAsia" w:ascii="宋体" w:hAnsi="宋体" w:eastAsia="宋体" w:cs="宋体"/>
          <w:sz w:val="24"/>
          <w:szCs w:val="24"/>
          <w:highlight w:val="none"/>
          <w:lang w:val="en-US" w:eastAsia="zh-CN"/>
        </w:rPr>
        <w:t>每次人民币200元的违约金。</w:t>
      </w:r>
    </w:p>
    <w:p w14:paraId="375FCAD5">
      <w:pPr>
        <w:pStyle w:val="31"/>
        <w:numPr>
          <w:ilvl w:val="1"/>
          <w:numId w:val="33"/>
        </w:numPr>
        <w:tabs>
          <w:tab w:val="left" w:pos="420"/>
        </w:tabs>
        <w:spacing w:line="360" w:lineRule="auto"/>
        <w:ind w:left="424" w:leftChars="0" w:hanging="424" w:firstLineChars="0"/>
        <w:rPr>
          <w:rFonts w:hint="eastAsia" w:ascii="宋体" w:hAnsi="宋体" w:eastAsia="宋体" w:cs="宋体"/>
          <w:sz w:val="24"/>
          <w:szCs w:val="24"/>
          <w:highlight w:val="none"/>
          <w:lang w:val="en-US" w:eastAsia="zh-CN"/>
        </w:rPr>
      </w:pPr>
      <w:r>
        <w:rPr>
          <w:rFonts w:hint="eastAsia" w:ascii="宋体" w:hAnsi="宋体" w:cs="宋体"/>
          <w:sz w:val="24"/>
          <w:szCs w:val="24"/>
          <w:highlight w:val="none"/>
          <w:lang w:val="en-US" w:eastAsia="zh-CN"/>
        </w:rPr>
        <w:t>乙方</w:t>
      </w:r>
      <w:r>
        <w:rPr>
          <w:rFonts w:hint="eastAsia" w:ascii="宋体" w:hAnsi="宋体" w:eastAsia="宋体" w:cs="宋体"/>
          <w:sz w:val="24"/>
          <w:szCs w:val="24"/>
          <w:highlight w:val="none"/>
          <w:lang w:val="en-US" w:eastAsia="zh-CN"/>
        </w:rPr>
        <w:t>工作人员上班时要着装统一，工作要吃苦耐劳，勤巡勤查，待人处事需热情服务，如出现有因工作人员礼貌不周或处事不公而导致发生纠纷案和投诉案的，</w:t>
      </w:r>
      <w:r>
        <w:rPr>
          <w:rFonts w:hint="eastAsia" w:ascii="宋体" w:hAnsi="宋体" w:cs="宋体"/>
          <w:sz w:val="24"/>
          <w:szCs w:val="24"/>
          <w:highlight w:val="none"/>
          <w:lang w:val="en-US" w:eastAsia="zh-CN"/>
        </w:rPr>
        <w:t>乙方</w:t>
      </w:r>
      <w:r>
        <w:rPr>
          <w:rFonts w:hint="eastAsia" w:ascii="宋体" w:hAnsi="宋体" w:eastAsia="宋体" w:cs="宋体"/>
          <w:sz w:val="24"/>
          <w:szCs w:val="24"/>
          <w:highlight w:val="none"/>
          <w:lang w:val="en-US" w:eastAsia="zh-CN"/>
        </w:rPr>
        <w:t>要自行及时设法处理，事后要自查自纠，吸取教训及时整改。合同期内出现三次投诉的，</w:t>
      </w:r>
      <w:r>
        <w:rPr>
          <w:rFonts w:hint="eastAsia" w:ascii="宋体" w:hAnsi="宋体" w:cs="宋体"/>
          <w:sz w:val="24"/>
          <w:szCs w:val="24"/>
          <w:highlight w:val="none"/>
          <w:lang w:val="en-US" w:eastAsia="zh-CN"/>
        </w:rPr>
        <w:t>甲方</w:t>
      </w:r>
      <w:r>
        <w:rPr>
          <w:rFonts w:hint="eastAsia" w:ascii="宋体" w:hAnsi="宋体" w:eastAsia="宋体" w:cs="宋体"/>
          <w:sz w:val="24"/>
          <w:szCs w:val="24"/>
          <w:highlight w:val="none"/>
          <w:lang w:val="en-US" w:eastAsia="zh-CN"/>
        </w:rPr>
        <w:t>有权解除</w:t>
      </w:r>
      <w:r>
        <w:rPr>
          <w:rFonts w:hint="eastAsia" w:ascii="宋体" w:hAnsi="宋体" w:cs="宋体"/>
          <w:sz w:val="24"/>
          <w:szCs w:val="24"/>
          <w:highlight w:val="none"/>
          <w:lang w:val="en-US" w:eastAsia="zh-CN"/>
        </w:rPr>
        <w:t>合同</w:t>
      </w:r>
      <w:r>
        <w:rPr>
          <w:rFonts w:hint="eastAsia" w:ascii="宋体" w:hAnsi="宋体" w:eastAsia="宋体" w:cs="宋体"/>
          <w:sz w:val="24"/>
          <w:szCs w:val="24"/>
          <w:highlight w:val="none"/>
          <w:lang w:val="en-US" w:eastAsia="zh-CN"/>
        </w:rPr>
        <w:t>，并视</w:t>
      </w:r>
      <w:r>
        <w:rPr>
          <w:rFonts w:hint="eastAsia" w:ascii="宋体" w:hAnsi="宋体" w:cs="宋体"/>
          <w:sz w:val="24"/>
          <w:szCs w:val="24"/>
          <w:highlight w:val="none"/>
          <w:lang w:val="en-US" w:eastAsia="zh-CN"/>
        </w:rPr>
        <w:t>乙方</w:t>
      </w:r>
      <w:r>
        <w:rPr>
          <w:rFonts w:hint="eastAsia" w:ascii="宋体" w:hAnsi="宋体" w:eastAsia="宋体" w:cs="宋体"/>
          <w:sz w:val="24"/>
          <w:szCs w:val="24"/>
          <w:highlight w:val="none"/>
          <w:lang w:val="en-US" w:eastAsia="zh-CN"/>
        </w:rPr>
        <w:t>违约</w:t>
      </w:r>
      <w:r>
        <w:rPr>
          <w:rFonts w:hint="eastAsia" w:ascii="宋体" w:hAnsi="宋体" w:cs="宋体"/>
          <w:sz w:val="24"/>
          <w:szCs w:val="24"/>
          <w:highlight w:val="none"/>
          <w:lang w:val="en-US" w:eastAsia="zh-CN"/>
        </w:rPr>
        <w:t>不予退还合同履约保证金</w:t>
      </w:r>
      <w:r>
        <w:rPr>
          <w:rFonts w:hint="eastAsia" w:ascii="宋体" w:hAnsi="宋体" w:eastAsia="宋体" w:cs="宋体"/>
          <w:sz w:val="24"/>
          <w:szCs w:val="24"/>
          <w:highlight w:val="none"/>
          <w:lang w:val="en-US" w:eastAsia="zh-CN"/>
        </w:rPr>
        <w:t>以作为</w:t>
      </w:r>
      <w:r>
        <w:rPr>
          <w:rFonts w:hint="eastAsia" w:ascii="宋体" w:hAnsi="宋体" w:cs="宋体"/>
          <w:sz w:val="24"/>
          <w:szCs w:val="24"/>
          <w:highlight w:val="none"/>
          <w:lang w:val="en-US" w:eastAsia="zh-CN"/>
        </w:rPr>
        <w:t>甲方</w:t>
      </w:r>
      <w:r>
        <w:rPr>
          <w:rFonts w:hint="eastAsia" w:ascii="宋体" w:hAnsi="宋体" w:eastAsia="宋体" w:cs="宋体"/>
          <w:sz w:val="24"/>
          <w:szCs w:val="24"/>
          <w:highlight w:val="none"/>
          <w:lang w:val="en-US" w:eastAsia="zh-CN"/>
        </w:rPr>
        <w:t>的经济补偿。</w:t>
      </w:r>
    </w:p>
    <w:p w14:paraId="7E1C468F">
      <w:pPr>
        <w:pStyle w:val="31"/>
        <w:numPr>
          <w:ilvl w:val="1"/>
          <w:numId w:val="33"/>
        </w:numPr>
        <w:tabs>
          <w:tab w:val="left" w:pos="420"/>
        </w:tabs>
        <w:spacing w:line="360" w:lineRule="auto"/>
        <w:ind w:left="424" w:leftChars="0" w:hanging="424" w:firstLineChars="0"/>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为了切实做好车辆的有序停放管理，</w:t>
      </w:r>
      <w:r>
        <w:rPr>
          <w:rFonts w:hint="eastAsia" w:ascii="宋体" w:hAnsi="宋体" w:cs="宋体"/>
          <w:sz w:val="24"/>
          <w:szCs w:val="24"/>
          <w:highlight w:val="none"/>
          <w:lang w:val="en-US" w:eastAsia="zh-CN"/>
        </w:rPr>
        <w:t>乙方</w:t>
      </w:r>
      <w:r>
        <w:rPr>
          <w:rFonts w:hint="eastAsia" w:ascii="宋体" w:hAnsi="宋体" w:eastAsia="宋体" w:cs="宋体"/>
          <w:sz w:val="24"/>
          <w:szCs w:val="24"/>
          <w:highlight w:val="none"/>
          <w:lang w:val="en-US" w:eastAsia="zh-CN"/>
        </w:rPr>
        <w:t>要适时对辖区内的停车位进行合理规划设置。将本地车位与外地临时车位进行区分管理，</w:t>
      </w:r>
      <w:r>
        <w:rPr>
          <w:rFonts w:hint="eastAsia" w:ascii="宋体" w:hAnsi="宋体" w:cs="宋体"/>
          <w:sz w:val="24"/>
          <w:szCs w:val="24"/>
          <w:highlight w:val="none"/>
          <w:lang w:val="en-US" w:eastAsia="zh-CN"/>
        </w:rPr>
        <w:t>乙方</w:t>
      </w:r>
      <w:r>
        <w:rPr>
          <w:rFonts w:hint="eastAsia" w:ascii="宋体" w:hAnsi="宋体" w:eastAsia="宋体" w:cs="宋体"/>
          <w:sz w:val="24"/>
          <w:szCs w:val="24"/>
          <w:highlight w:val="none"/>
          <w:lang w:val="en-US" w:eastAsia="zh-CN"/>
        </w:rPr>
        <w:t>应严格管理控制禁止外来车辆在本地车位上停放过夜。本村辖区内的村民住宅以外的车位均为共享车位，禁止私装地锁或摆设物品霸占，否则</w:t>
      </w:r>
      <w:r>
        <w:rPr>
          <w:rFonts w:hint="eastAsia" w:ascii="宋体" w:hAnsi="宋体" w:cs="宋体"/>
          <w:sz w:val="24"/>
          <w:szCs w:val="24"/>
          <w:highlight w:val="none"/>
          <w:lang w:val="en-US" w:eastAsia="zh-CN"/>
        </w:rPr>
        <w:t>乙方</w:t>
      </w:r>
      <w:r>
        <w:rPr>
          <w:rFonts w:hint="eastAsia" w:ascii="宋体" w:hAnsi="宋体" w:eastAsia="宋体" w:cs="宋体"/>
          <w:sz w:val="24"/>
          <w:szCs w:val="24"/>
          <w:highlight w:val="none"/>
          <w:lang w:val="en-US" w:eastAsia="zh-CN"/>
        </w:rPr>
        <w:t>有权</w:t>
      </w:r>
      <w:r>
        <w:rPr>
          <w:rFonts w:hint="eastAsia" w:ascii="宋体" w:hAnsi="宋体" w:cs="宋体"/>
          <w:sz w:val="24"/>
          <w:szCs w:val="24"/>
          <w:highlight w:val="none"/>
          <w:lang w:val="en-US" w:eastAsia="zh-CN"/>
        </w:rPr>
        <w:t>不予退还</w:t>
      </w:r>
      <w:r>
        <w:rPr>
          <w:rFonts w:hint="eastAsia" w:ascii="宋体" w:hAnsi="宋体" w:eastAsia="宋体" w:cs="宋体"/>
          <w:sz w:val="24"/>
          <w:szCs w:val="24"/>
          <w:highlight w:val="none"/>
          <w:lang w:val="en-US" w:eastAsia="zh-CN"/>
        </w:rPr>
        <w:t>处理。</w:t>
      </w:r>
    </w:p>
    <w:p w14:paraId="7F45D9FD">
      <w:pPr>
        <w:pStyle w:val="31"/>
        <w:numPr>
          <w:ilvl w:val="1"/>
          <w:numId w:val="33"/>
        </w:numPr>
        <w:tabs>
          <w:tab w:val="left" w:pos="420"/>
        </w:tabs>
        <w:spacing w:line="360" w:lineRule="auto"/>
        <w:ind w:left="424" w:leftChars="0" w:hanging="424" w:firstLineChars="0"/>
        <w:rPr>
          <w:rFonts w:hint="eastAsia" w:ascii="宋体" w:hAnsi="宋体" w:eastAsia="宋体" w:cs="宋体"/>
          <w:b/>
          <w:color w:val="auto"/>
          <w:sz w:val="24"/>
          <w:szCs w:val="24"/>
          <w:highlight w:val="none"/>
        </w:rPr>
      </w:pPr>
      <w:r>
        <w:rPr>
          <w:rFonts w:hint="eastAsia" w:ascii="宋体" w:hAnsi="宋体" w:cs="宋体"/>
          <w:sz w:val="24"/>
          <w:szCs w:val="24"/>
          <w:highlight w:val="none"/>
          <w:lang w:val="en-US" w:eastAsia="zh-CN"/>
        </w:rPr>
        <w:t>乙方</w:t>
      </w:r>
      <w:r>
        <w:rPr>
          <w:rFonts w:hint="eastAsia" w:ascii="宋体" w:hAnsi="宋体" w:eastAsia="宋体" w:cs="宋体"/>
          <w:sz w:val="24"/>
          <w:szCs w:val="24"/>
          <w:highlight w:val="none"/>
          <w:lang w:val="en-US" w:eastAsia="zh-CN"/>
        </w:rPr>
        <w:t>在签订合同后，根据现时村内情况，对辖区内破旧车位重新划热熔线（破旧车位数待定），并完善所有道路标识、道路监控以及部分停车位设施。统一完善后，</w:t>
      </w:r>
      <w:r>
        <w:rPr>
          <w:rFonts w:hint="eastAsia" w:ascii="宋体" w:hAnsi="宋体" w:cs="宋体"/>
          <w:sz w:val="24"/>
          <w:szCs w:val="24"/>
          <w:highlight w:val="none"/>
          <w:lang w:val="en-US" w:eastAsia="zh-CN"/>
        </w:rPr>
        <w:t>乙方</w:t>
      </w:r>
      <w:r>
        <w:rPr>
          <w:rFonts w:hint="eastAsia" w:ascii="宋体" w:hAnsi="宋体" w:eastAsia="宋体" w:cs="宋体"/>
          <w:sz w:val="24"/>
          <w:szCs w:val="24"/>
          <w:highlight w:val="none"/>
          <w:lang w:val="en-US" w:eastAsia="zh-CN"/>
        </w:rPr>
        <w:t>也要对车位划线、道路标识、停车设施等定期检查及维护更新，对危险路段及停车场等做好交通标志指示牌的安装，以起到警示作用（如禁停牌、限速牌、限重牌、停车场标识、凸面广角镜等）。上述所产生的一切费用均由</w:t>
      </w:r>
      <w:r>
        <w:rPr>
          <w:rFonts w:hint="eastAsia" w:ascii="宋体" w:hAnsi="宋体" w:cs="宋体"/>
          <w:sz w:val="24"/>
          <w:szCs w:val="24"/>
          <w:highlight w:val="none"/>
          <w:lang w:val="en-US" w:eastAsia="zh-CN"/>
        </w:rPr>
        <w:t>乙方</w:t>
      </w:r>
      <w:r>
        <w:rPr>
          <w:rFonts w:hint="eastAsia" w:ascii="宋体" w:hAnsi="宋体" w:eastAsia="宋体" w:cs="宋体"/>
          <w:sz w:val="24"/>
          <w:szCs w:val="24"/>
          <w:highlight w:val="none"/>
          <w:lang w:val="en-US" w:eastAsia="zh-CN"/>
        </w:rPr>
        <w:t>承担。</w:t>
      </w:r>
    </w:p>
    <w:p w14:paraId="0B9923BC">
      <w:pPr>
        <w:pStyle w:val="31"/>
        <w:numPr>
          <w:ilvl w:val="1"/>
          <w:numId w:val="33"/>
        </w:numPr>
        <w:tabs>
          <w:tab w:val="left" w:pos="420"/>
        </w:tabs>
        <w:spacing w:line="360" w:lineRule="auto"/>
        <w:ind w:left="424" w:leftChars="0" w:hanging="424" w:firstLineChars="0"/>
        <w:rPr>
          <w:rFonts w:hint="eastAsia" w:ascii="宋体" w:hAnsi="宋体" w:eastAsia="宋体" w:cs="宋体"/>
          <w:b/>
          <w:color w:val="auto"/>
          <w:sz w:val="24"/>
          <w:szCs w:val="24"/>
          <w:highlight w:val="none"/>
        </w:rPr>
      </w:pPr>
      <w:r>
        <w:rPr>
          <w:rFonts w:hint="eastAsia" w:ascii="宋体" w:hAnsi="宋体" w:eastAsia="宋体" w:cs="宋体"/>
          <w:sz w:val="24"/>
          <w:szCs w:val="24"/>
          <w:highlight w:val="none"/>
          <w:lang w:val="en-US" w:eastAsia="zh-CN"/>
        </w:rPr>
        <w:t>平时需对所有设备进行维护、保养以确保其正常运行工作。在合同期内，</w:t>
      </w:r>
      <w:r>
        <w:rPr>
          <w:rFonts w:hint="eastAsia" w:ascii="宋体" w:hAnsi="宋体" w:cs="宋体"/>
          <w:sz w:val="24"/>
          <w:szCs w:val="24"/>
          <w:highlight w:val="none"/>
          <w:lang w:val="en-US" w:eastAsia="zh-CN"/>
        </w:rPr>
        <w:t>乙方</w:t>
      </w:r>
      <w:r>
        <w:rPr>
          <w:rFonts w:hint="eastAsia" w:ascii="宋体" w:hAnsi="宋体" w:eastAsia="宋体" w:cs="宋体"/>
          <w:sz w:val="24"/>
          <w:szCs w:val="24"/>
          <w:highlight w:val="none"/>
          <w:lang w:val="en-US" w:eastAsia="zh-CN"/>
        </w:rPr>
        <w:t>对车辆管理的设备维护更新或增设等费用均由</w:t>
      </w:r>
      <w:r>
        <w:rPr>
          <w:rFonts w:hint="eastAsia" w:ascii="宋体" w:hAnsi="宋体" w:cs="宋体"/>
          <w:sz w:val="24"/>
          <w:szCs w:val="24"/>
          <w:highlight w:val="none"/>
          <w:lang w:val="en-US" w:eastAsia="zh-CN"/>
        </w:rPr>
        <w:t>乙方</w:t>
      </w:r>
      <w:r>
        <w:rPr>
          <w:rFonts w:hint="eastAsia" w:ascii="宋体" w:hAnsi="宋体" w:eastAsia="宋体" w:cs="宋体"/>
          <w:sz w:val="24"/>
          <w:szCs w:val="24"/>
          <w:highlight w:val="none"/>
          <w:lang w:val="en-US" w:eastAsia="zh-CN"/>
        </w:rPr>
        <w:t>承担。合同期满后，</w:t>
      </w:r>
      <w:r>
        <w:rPr>
          <w:rFonts w:hint="eastAsia" w:ascii="宋体" w:hAnsi="宋体" w:cs="宋体"/>
          <w:sz w:val="24"/>
          <w:szCs w:val="24"/>
          <w:highlight w:val="none"/>
          <w:lang w:val="en-US" w:eastAsia="zh-CN"/>
        </w:rPr>
        <w:t>乙方</w:t>
      </w:r>
      <w:r>
        <w:rPr>
          <w:rFonts w:hint="eastAsia" w:ascii="宋体" w:hAnsi="宋体" w:eastAsia="宋体" w:cs="宋体"/>
          <w:sz w:val="24"/>
          <w:szCs w:val="24"/>
          <w:highlight w:val="none"/>
          <w:lang w:val="en-US" w:eastAsia="zh-CN"/>
        </w:rPr>
        <w:t>须要将所有设备（含新建和原有的硬件与软件）及各类管理档案资料等正常完好地无偿移交给</w:t>
      </w:r>
      <w:r>
        <w:rPr>
          <w:rFonts w:hint="eastAsia" w:ascii="宋体" w:hAnsi="宋体" w:cs="宋体"/>
          <w:sz w:val="24"/>
          <w:szCs w:val="24"/>
          <w:highlight w:val="none"/>
          <w:lang w:val="en-US" w:eastAsia="zh-CN"/>
        </w:rPr>
        <w:t>甲方</w:t>
      </w:r>
      <w:r>
        <w:rPr>
          <w:rFonts w:hint="eastAsia" w:ascii="宋体" w:hAnsi="宋体" w:eastAsia="宋体" w:cs="宋体"/>
          <w:sz w:val="24"/>
          <w:szCs w:val="24"/>
          <w:highlight w:val="none"/>
          <w:lang w:val="en-US" w:eastAsia="zh-CN"/>
        </w:rPr>
        <w:t>。如有损坏，</w:t>
      </w:r>
      <w:r>
        <w:rPr>
          <w:rFonts w:hint="eastAsia" w:ascii="宋体" w:hAnsi="宋体" w:cs="宋体"/>
          <w:sz w:val="24"/>
          <w:szCs w:val="24"/>
          <w:highlight w:val="none"/>
          <w:lang w:val="en-US" w:eastAsia="zh-CN"/>
        </w:rPr>
        <w:t>甲方</w:t>
      </w:r>
      <w:r>
        <w:rPr>
          <w:rFonts w:hint="eastAsia" w:ascii="宋体" w:hAnsi="宋体" w:eastAsia="宋体" w:cs="宋体"/>
          <w:sz w:val="24"/>
          <w:szCs w:val="24"/>
          <w:highlight w:val="none"/>
          <w:lang w:val="en-US" w:eastAsia="zh-CN"/>
        </w:rPr>
        <w:t>有权请人进行修复，但所产生费用均由</w:t>
      </w:r>
      <w:r>
        <w:rPr>
          <w:rFonts w:hint="eastAsia" w:ascii="宋体" w:hAnsi="宋体" w:cs="宋体"/>
          <w:sz w:val="24"/>
          <w:szCs w:val="24"/>
          <w:highlight w:val="none"/>
          <w:lang w:val="en-US" w:eastAsia="zh-CN"/>
        </w:rPr>
        <w:t>乙方</w:t>
      </w:r>
      <w:r>
        <w:rPr>
          <w:rFonts w:hint="eastAsia" w:ascii="宋体" w:hAnsi="宋体" w:eastAsia="宋体" w:cs="宋体"/>
          <w:sz w:val="24"/>
          <w:szCs w:val="24"/>
          <w:highlight w:val="none"/>
          <w:lang w:val="en-US" w:eastAsia="zh-CN"/>
        </w:rPr>
        <w:t>支付或从</w:t>
      </w:r>
      <w:r>
        <w:rPr>
          <w:rFonts w:hint="eastAsia" w:ascii="宋体" w:hAnsi="宋体" w:cs="宋体"/>
          <w:sz w:val="24"/>
          <w:szCs w:val="24"/>
          <w:highlight w:val="none"/>
          <w:lang w:val="en-US" w:eastAsia="zh-CN"/>
        </w:rPr>
        <w:t>履约</w:t>
      </w:r>
      <w:r>
        <w:rPr>
          <w:rFonts w:hint="eastAsia" w:ascii="宋体" w:hAnsi="宋体" w:eastAsia="宋体" w:cs="宋体"/>
          <w:sz w:val="24"/>
          <w:szCs w:val="24"/>
          <w:highlight w:val="none"/>
          <w:lang w:val="en-US" w:eastAsia="zh-CN"/>
        </w:rPr>
        <w:t>保证金处扣除。</w:t>
      </w:r>
    </w:p>
    <w:p w14:paraId="3AE17833">
      <w:pPr>
        <w:pStyle w:val="36"/>
        <w:numPr>
          <w:ilvl w:val="0"/>
          <w:numId w:val="28"/>
        </w:numPr>
        <w:spacing w:before="240" w:beforeLines="100" w:after="120" w:afterLines="50" w:line="240" w:lineRule="auto"/>
        <w:ind w:left="624" w:leftChars="0" w:hanging="624" w:firstLineChars="0"/>
        <w:rPr>
          <w:rFonts w:hint="eastAsia" w:ascii="宋体" w:hAnsi="宋体" w:eastAsia="宋体" w:cs="宋体"/>
          <w:b/>
          <w:bCs/>
          <w:sz w:val="24"/>
          <w:szCs w:val="24"/>
          <w:highlight w:val="none"/>
          <w:lang w:eastAsia="zh-CN"/>
        </w:rPr>
      </w:pPr>
      <w:r>
        <w:rPr>
          <w:rFonts w:hint="eastAsia" w:ascii="宋体" w:hAnsi="宋体" w:eastAsia="宋体" w:cs="宋体"/>
          <w:b/>
          <w:bCs/>
          <w:sz w:val="24"/>
          <w:szCs w:val="24"/>
          <w:highlight w:val="none"/>
          <w:lang w:eastAsia="zh-CN"/>
        </w:rPr>
        <w:t>售后服务要求</w:t>
      </w:r>
    </w:p>
    <w:p w14:paraId="197A6949">
      <w:pPr>
        <w:pStyle w:val="36"/>
        <w:numPr>
          <w:ilvl w:val="1"/>
          <w:numId w:val="34"/>
        </w:numPr>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乙方售后服务机构名称及地址：</w:t>
      </w:r>
    </w:p>
    <w:p w14:paraId="1128821D">
      <w:pPr>
        <w:pStyle w:val="36"/>
        <w:spacing w:line="360" w:lineRule="auto"/>
        <w:ind w:firstLine="720" w:firstLineChars="300"/>
        <w:rPr>
          <w:rFonts w:hint="eastAsia" w:ascii="宋体" w:hAnsi="宋体" w:eastAsia="宋体" w:cs="宋体"/>
          <w:sz w:val="24"/>
          <w:szCs w:val="24"/>
          <w:highlight w:val="none"/>
        </w:rPr>
      </w:pPr>
      <w:r>
        <w:rPr>
          <w:rFonts w:hint="eastAsia" w:ascii="宋体" w:hAnsi="宋体" w:eastAsia="宋体" w:cs="宋体"/>
          <w:sz w:val="24"/>
          <w:szCs w:val="24"/>
          <w:highlight w:val="none"/>
        </w:rPr>
        <w:t>联系人1：，联系电话：，手机：，传真：</w:t>
      </w:r>
    </w:p>
    <w:p w14:paraId="358EBE06">
      <w:pPr>
        <w:pStyle w:val="36"/>
        <w:spacing w:line="360" w:lineRule="auto"/>
        <w:ind w:firstLine="720" w:firstLineChars="300"/>
        <w:rPr>
          <w:rFonts w:hint="eastAsia" w:ascii="宋体" w:hAnsi="宋体" w:eastAsia="宋体" w:cs="宋体"/>
          <w:sz w:val="24"/>
          <w:szCs w:val="24"/>
          <w:highlight w:val="none"/>
        </w:rPr>
      </w:pPr>
      <w:r>
        <w:rPr>
          <w:rFonts w:hint="eastAsia" w:ascii="宋体" w:hAnsi="宋体" w:eastAsia="宋体" w:cs="宋体"/>
          <w:sz w:val="24"/>
          <w:szCs w:val="24"/>
          <w:highlight w:val="none"/>
        </w:rPr>
        <w:t>联系人2：，联系电话：，手机：，传真：</w:t>
      </w:r>
    </w:p>
    <w:p w14:paraId="55BCADA4">
      <w:pPr>
        <w:pStyle w:val="36"/>
        <w:numPr>
          <w:ilvl w:val="0"/>
          <w:numId w:val="28"/>
        </w:numPr>
        <w:spacing w:before="240" w:beforeLines="100" w:after="120" w:afterLines="50" w:line="240" w:lineRule="auto"/>
        <w:ind w:left="624" w:leftChars="0" w:hanging="624" w:firstLineChars="0"/>
        <w:rPr>
          <w:rFonts w:hint="eastAsia" w:ascii="宋体" w:hAnsi="宋体" w:eastAsia="宋体" w:cs="宋体"/>
          <w:b/>
          <w:bCs/>
          <w:sz w:val="24"/>
          <w:szCs w:val="24"/>
          <w:highlight w:val="none"/>
          <w:lang w:eastAsia="zh-CN"/>
        </w:rPr>
      </w:pPr>
      <w:r>
        <w:rPr>
          <w:rFonts w:hint="eastAsia" w:ascii="宋体" w:hAnsi="宋体" w:eastAsia="宋体" w:cs="宋体"/>
          <w:b/>
          <w:bCs/>
          <w:sz w:val="24"/>
          <w:szCs w:val="24"/>
          <w:highlight w:val="none"/>
          <w:lang w:eastAsia="zh-CN"/>
        </w:rPr>
        <w:t>违约责任</w:t>
      </w:r>
    </w:p>
    <w:p w14:paraId="6C08304C">
      <w:pPr>
        <w:pStyle w:val="36"/>
        <w:numPr>
          <w:ilvl w:val="1"/>
          <w:numId w:val="35"/>
        </w:numPr>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乙方不能拆解分包，转包他人经营，更不能有包上包行为。若在经营过程中发现此情况，甲方有权</w:t>
      </w:r>
      <w:r>
        <w:rPr>
          <w:rFonts w:hint="eastAsia" w:ascii="宋体" w:hAnsi="宋体" w:cs="宋体"/>
          <w:sz w:val="24"/>
          <w:szCs w:val="24"/>
          <w:highlight w:val="none"/>
          <w:lang w:eastAsia="zh-CN"/>
        </w:rPr>
        <w:t>不予退还</w:t>
      </w:r>
      <w:r>
        <w:rPr>
          <w:rFonts w:hint="eastAsia" w:ascii="宋体" w:hAnsi="宋体" w:eastAsia="宋体" w:cs="宋体"/>
          <w:sz w:val="24"/>
          <w:szCs w:val="24"/>
          <w:highlight w:val="none"/>
        </w:rPr>
        <w:t>乙方合同履约保证金及管理设备，并依法追究相关责任人法律责任。乙方未按要求履行合同义务时，对逾期支付服务费的，从逾期之日起每日按合同总额的2‰比例向甲方支付违约金；逾期15日以上时，甲方有权单方面解除合同，</w:t>
      </w:r>
      <w:r>
        <w:rPr>
          <w:rFonts w:hint="eastAsia" w:ascii="宋体" w:hAnsi="宋体" w:cs="宋体"/>
          <w:sz w:val="24"/>
          <w:szCs w:val="24"/>
          <w:highlight w:val="none"/>
          <w:lang w:eastAsia="zh-CN"/>
        </w:rPr>
        <w:t>不予退还合同履约保证金</w:t>
      </w:r>
      <w:r>
        <w:rPr>
          <w:rFonts w:hint="eastAsia" w:ascii="宋体" w:hAnsi="宋体" w:eastAsia="宋体" w:cs="宋体"/>
          <w:sz w:val="24"/>
          <w:szCs w:val="24"/>
          <w:highlight w:val="none"/>
        </w:rPr>
        <w:t>，乙方投入建设安装的一切设施设备无偿归甲方所有，由此造成甲方的经济损失由乙方承担，违约金不足以弥补损失的，乙方应按全额赔偿。</w:t>
      </w:r>
    </w:p>
    <w:p w14:paraId="7EF61E6E">
      <w:pPr>
        <w:pStyle w:val="36"/>
        <w:numPr>
          <w:ilvl w:val="1"/>
          <w:numId w:val="35"/>
        </w:numPr>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乙方在合同期内因违反本服务合同的约定，无法向甲方提供正常服务时，甲方有权要求乙方限期整改，并向乙方提交书面整改通知书，具体的整改时间届时按事故的大小在通知书内定明，如乙方逾期未能整改而造成甲方损失的，甲方将依照乙方的权利和义务确定乙方责任，依照本合同书约定由乙方承担相应的经济赔偿，如乙方概不履行责任时，视为乙方根本违约，甲方有权单方面解除合同，</w:t>
      </w:r>
      <w:r>
        <w:rPr>
          <w:rFonts w:hint="eastAsia" w:ascii="宋体" w:hAnsi="宋体" w:cs="宋体"/>
          <w:sz w:val="24"/>
          <w:szCs w:val="24"/>
          <w:highlight w:val="none"/>
          <w:lang w:eastAsia="zh-CN"/>
        </w:rPr>
        <w:t>不予退还合同履约保证金</w:t>
      </w:r>
      <w:r>
        <w:rPr>
          <w:rFonts w:hint="eastAsia" w:ascii="宋体" w:hAnsi="宋体" w:eastAsia="宋体" w:cs="宋体"/>
          <w:sz w:val="24"/>
          <w:szCs w:val="24"/>
          <w:highlight w:val="none"/>
        </w:rPr>
        <w:t>和不退回已交的服务费，乙方投入建设安装的一切设施设备无偿归甲方所有。</w:t>
      </w:r>
    </w:p>
    <w:p w14:paraId="67C2E967">
      <w:pPr>
        <w:pStyle w:val="36"/>
        <w:numPr>
          <w:ilvl w:val="1"/>
          <w:numId w:val="35"/>
        </w:numPr>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如因甲方的原因致使乙方无法提供正常服务时，乙方有权要求甲方在一定期限内解决并向甲方提交限期解决通知书，解决时间届时按事故大小在整改通知书上定明，如属甲方责任，甲方应给予乙方合理经济赔偿。如遇不可抗力及双方认定的特殊情况双方可协商处理。</w:t>
      </w:r>
    </w:p>
    <w:p w14:paraId="1A082B64">
      <w:pPr>
        <w:pStyle w:val="36"/>
        <w:numPr>
          <w:ilvl w:val="1"/>
          <w:numId w:val="35"/>
        </w:numPr>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乙方应在经表决的方案范围内制定停车管理细则，管理细则需报甲方同意，并在停车场及公共地方进行公示。乙方与甲方严格执行合同规定，若在实际管理中有与以上条文冲突的情况，为更好地服务村民，在不改变大框架的情况下，经双方协商进行适当调整相关内容，调整的相关内容需经相关民主议事决定，做好相关记录，并在村内公示，经公示无异议后，双方另外签订补充协议。</w:t>
      </w:r>
    </w:p>
    <w:p w14:paraId="2794D188">
      <w:pPr>
        <w:pStyle w:val="36"/>
        <w:numPr>
          <w:ilvl w:val="1"/>
          <w:numId w:val="35"/>
        </w:numPr>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出租屋业主未交年度垃圾费的，其属下租凭的租客的车辆不能录入登记。</w:t>
      </w:r>
    </w:p>
    <w:p w14:paraId="7C09AADD">
      <w:pPr>
        <w:pStyle w:val="36"/>
        <w:numPr>
          <w:ilvl w:val="1"/>
          <w:numId w:val="35"/>
        </w:numPr>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为缓解停车位压力，经甲方同意，乙方可充分利用村内指定的闲置地规划停车位，若日后甲方对该闲置地有发展规划需要，乙方需无条件配合。如本方案与相关法律法规有冲突的，则按照法律法规适当调整。</w:t>
      </w:r>
    </w:p>
    <w:p w14:paraId="25D17134">
      <w:pPr>
        <w:pStyle w:val="36"/>
        <w:numPr>
          <w:ilvl w:val="0"/>
          <w:numId w:val="28"/>
        </w:numPr>
        <w:spacing w:before="240" w:beforeLines="100" w:after="120" w:afterLines="50" w:line="240" w:lineRule="auto"/>
        <w:ind w:left="624" w:leftChars="0" w:hanging="624" w:firstLineChars="0"/>
        <w:rPr>
          <w:rFonts w:hint="eastAsia" w:ascii="宋体" w:hAnsi="宋体" w:eastAsia="宋体" w:cs="宋体"/>
          <w:b/>
          <w:bCs/>
          <w:sz w:val="24"/>
          <w:szCs w:val="24"/>
          <w:highlight w:val="none"/>
          <w:lang w:eastAsia="zh-CN"/>
        </w:rPr>
      </w:pPr>
      <w:r>
        <w:rPr>
          <w:rFonts w:hint="eastAsia" w:ascii="宋体" w:hAnsi="宋体" w:eastAsia="宋体" w:cs="宋体"/>
          <w:b/>
          <w:bCs/>
          <w:sz w:val="24"/>
          <w:szCs w:val="24"/>
          <w:highlight w:val="none"/>
          <w:lang w:eastAsia="zh-CN"/>
        </w:rPr>
        <w:t>提出异议的时间和方法</w:t>
      </w:r>
    </w:p>
    <w:p w14:paraId="1CE04EA9">
      <w:pPr>
        <w:pStyle w:val="36"/>
        <w:numPr>
          <w:ilvl w:val="1"/>
          <w:numId w:val="36"/>
        </w:numPr>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甲方在服务期内如对服务质量有异议时，即向乙方提出书面异议。</w:t>
      </w:r>
    </w:p>
    <w:p w14:paraId="36B4459A">
      <w:pPr>
        <w:pStyle w:val="36"/>
        <w:numPr>
          <w:ilvl w:val="1"/>
          <w:numId w:val="36"/>
        </w:numPr>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乙方在甲方提出书面异议之日起3天内负责处理并函复甲方处理情况，否则，即视为默认甲方提出的异议和处理意见。</w:t>
      </w:r>
    </w:p>
    <w:p w14:paraId="02BA7384">
      <w:pPr>
        <w:pStyle w:val="36"/>
        <w:numPr>
          <w:ilvl w:val="1"/>
          <w:numId w:val="36"/>
        </w:numPr>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乙方利用专业优势和信息不对称之便，以不道德的手段，故意隐瞒和掩盖自身缔约过失，违背投标承诺和未尽义务，损害了甲方的合法权益，甲方在任何时候均可追究乙方的违约责任并索取赔偿，且不受验收程序、质保期和合同时效的限制。</w:t>
      </w:r>
    </w:p>
    <w:p w14:paraId="0ECD3412">
      <w:pPr>
        <w:pStyle w:val="36"/>
        <w:numPr>
          <w:ilvl w:val="0"/>
          <w:numId w:val="28"/>
        </w:numPr>
        <w:spacing w:before="240" w:beforeLines="100" w:after="120" w:afterLines="50" w:line="240" w:lineRule="auto"/>
        <w:ind w:left="624" w:leftChars="0" w:hanging="624" w:firstLineChars="0"/>
        <w:rPr>
          <w:rFonts w:hint="eastAsia" w:ascii="宋体" w:hAnsi="宋体" w:eastAsia="宋体" w:cs="宋体"/>
          <w:b/>
          <w:bCs/>
          <w:sz w:val="24"/>
          <w:szCs w:val="24"/>
          <w:highlight w:val="none"/>
          <w:lang w:eastAsia="zh-CN"/>
        </w:rPr>
      </w:pPr>
      <w:r>
        <w:rPr>
          <w:rFonts w:hint="eastAsia" w:ascii="宋体" w:hAnsi="宋体" w:eastAsia="宋体" w:cs="宋体"/>
          <w:b/>
          <w:bCs/>
          <w:sz w:val="24"/>
          <w:szCs w:val="24"/>
          <w:highlight w:val="none"/>
          <w:lang w:eastAsia="zh-CN"/>
        </w:rPr>
        <w:t>争议的解决</w:t>
      </w:r>
    </w:p>
    <w:p w14:paraId="7568456A">
      <w:pPr>
        <w:pStyle w:val="36"/>
        <w:numPr>
          <w:ilvl w:val="1"/>
          <w:numId w:val="37"/>
        </w:numPr>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合同履行过程中发生的任何争议，如双方未能通过友好协商解决，应向甲方所在地的人民法院提起诉讼。</w:t>
      </w:r>
    </w:p>
    <w:p w14:paraId="0BD623CC">
      <w:pPr>
        <w:pStyle w:val="36"/>
        <w:numPr>
          <w:ilvl w:val="1"/>
          <w:numId w:val="37"/>
        </w:numPr>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法院审理期间，除提交法院审理的事项外，其它无争议的事项和条款仍应继续履行。</w:t>
      </w:r>
    </w:p>
    <w:p w14:paraId="7BD1C6F8">
      <w:pPr>
        <w:pStyle w:val="36"/>
        <w:numPr>
          <w:ilvl w:val="0"/>
          <w:numId w:val="28"/>
        </w:numPr>
        <w:spacing w:before="240" w:beforeLines="100" w:after="120" w:afterLines="50" w:line="240" w:lineRule="auto"/>
        <w:ind w:left="624" w:leftChars="0" w:hanging="624" w:firstLineChars="0"/>
        <w:rPr>
          <w:rFonts w:hint="eastAsia" w:ascii="宋体" w:hAnsi="宋体" w:eastAsia="宋体" w:cs="宋体"/>
          <w:b/>
          <w:bCs/>
          <w:sz w:val="24"/>
          <w:szCs w:val="24"/>
          <w:highlight w:val="none"/>
          <w:lang w:eastAsia="zh-CN"/>
        </w:rPr>
      </w:pPr>
      <w:r>
        <w:rPr>
          <w:rFonts w:hint="eastAsia" w:ascii="宋体" w:hAnsi="宋体" w:eastAsia="宋体" w:cs="宋体"/>
          <w:b/>
          <w:bCs/>
          <w:sz w:val="24"/>
          <w:szCs w:val="24"/>
          <w:highlight w:val="none"/>
          <w:lang w:eastAsia="zh-CN"/>
        </w:rPr>
        <w:t>不可抗力</w:t>
      </w:r>
    </w:p>
    <w:p w14:paraId="1ACBBEE4">
      <w:pPr>
        <w:pStyle w:val="36"/>
        <w:numPr>
          <w:ilvl w:val="1"/>
          <w:numId w:val="38"/>
        </w:numPr>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任何一方由于不可抗力原因不能履行合同时，应在不可抗力事件结束后48小时内向对方通报，以减轻可能给对方造成的损失，在取得有关机构的不可抗力证明或双方谅解确认后，允许延期履行或修订合同，并根据情况可部分或全部免于承担违约责任。</w:t>
      </w:r>
    </w:p>
    <w:p w14:paraId="46B989C3">
      <w:pPr>
        <w:pStyle w:val="36"/>
        <w:numPr>
          <w:ilvl w:val="0"/>
          <w:numId w:val="28"/>
        </w:numPr>
        <w:spacing w:before="240" w:beforeLines="100" w:after="120" w:afterLines="50" w:line="240" w:lineRule="auto"/>
        <w:ind w:left="624" w:leftChars="0" w:hanging="624" w:firstLineChars="0"/>
        <w:rPr>
          <w:rFonts w:hint="eastAsia" w:ascii="宋体" w:hAnsi="宋体" w:eastAsia="宋体" w:cs="宋体"/>
          <w:b/>
          <w:bCs/>
          <w:sz w:val="24"/>
          <w:szCs w:val="24"/>
          <w:highlight w:val="none"/>
          <w:lang w:eastAsia="zh-CN"/>
        </w:rPr>
      </w:pPr>
      <w:r>
        <w:rPr>
          <w:rFonts w:hint="eastAsia" w:ascii="宋体" w:hAnsi="宋体" w:eastAsia="宋体" w:cs="宋体"/>
          <w:b/>
          <w:bCs/>
          <w:sz w:val="24"/>
          <w:szCs w:val="24"/>
          <w:highlight w:val="none"/>
          <w:lang w:eastAsia="zh-CN"/>
        </w:rPr>
        <w:t>税费</w:t>
      </w:r>
    </w:p>
    <w:p w14:paraId="092AFF07">
      <w:pPr>
        <w:pStyle w:val="36"/>
        <w:numPr>
          <w:ilvl w:val="1"/>
          <w:numId w:val="39"/>
        </w:numPr>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与本合同相关的一切税费及不可预见费用均由乙方负担。</w:t>
      </w:r>
    </w:p>
    <w:p w14:paraId="0FD35876">
      <w:pPr>
        <w:pStyle w:val="36"/>
        <w:numPr>
          <w:ilvl w:val="0"/>
          <w:numId w:val="28"/>
        </w:numPr>
        <w:spacing w:before="240" w:beforeLines="100" w:after="120" w:afterLines="50" w:line="240" w:lineRule="auto"/>
        <w:ind w:left="624" w:leftChars="0" w:hanging="624" w:firstLineChars="0"/>
        <w:rPr>
          <w:rFonts w:hint="eastAsia" w:ascii="宋体" w:hAnsi="宋体" w:eastAsia="宋体" w:cs="宋体"/>
          <w:b/>
          <w:bCs/>
          <w:sz w:val="24"/>
          <w:szCs w:val="24"/>
          <w:highlight w:val="none"/>
          <w:lang w:eastAsia="zh-CN"/>
        </w:rPr>
      </w:pPr>
      <w:r>
        <w:rPr>
          <w:rFonts w:hint="eastAsia" w:ascii="宋体" w:hAnsi="宋体" w:eastAsia="宋体" w:cs="宋体"/>
          <w:b/>
          <w:bCs/>
          <w:sz w:val="24"/>
          <w:szCs w:val="24"/>
          <w:highlight w:val="none"/>
          <w:lang w:eastAsia="zh-CN"/>
        </w:rPr>
        <w:t>合同生效</w:t>
      </w:r>
    </w:p>
    <w:p w14:paraId="0308CCB1">
      <w:pPr>
        <w:pStyle w:val="36"/>
        <w:numPr>
          <w:ilvl w:val="1"/>
          <w:numId w:val="40"/>
        </w:numPr>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本合同自甲乙双方法定代表人或其授权代表签字并盖章之日起生效。</w:t>
      </w:r>
    </w:p>
    <w:p w14:paraId="49D912F9">
      <w:pPr>
        <w:pStyle w:val="36"/>
        <w:numPr>
          <w:ilvl w:val="0"/>
          <w:numId w:val="28"/>
        </w:numPr>
        <w:spacing w:before="240" w:beforeLines="100" w:after="120" w:afterLines="50" w:line="240" w:lineRule="auto"/>
        <w:ind w:left="624" w:leftChars="0" w:hanging="624" w:firstLineChars="0"/>
        <w:rPr>
          <w:rFonts w:hint="eastAsia" w:ascii="宋体" w:hAnsi="宋体" w:eastAsia="宋体" w:cs="宋体"/>
          <w:b/>
          <w:bCs/>
          <w:sz w:val="24"/>
          <w:szCs w:val="24"/>
          <w:highlight w:val="none"/>
          <w:lang w:eastAsia="zh-CN"/>
        </w:rPr>
      </w:pPr>
      <w:r>
        <w:rPr>
          <w:rFonts w:hint="eastAsia" w:ascii="宋体" w:hAnsi="宋体" w:eastAsia="宋体" w:cs="宋体"/>
          <w:b/>
          <w:bCs/>
          <w:sz w:val="24"/>
          <w:szCs w:val="24"/>
          <w:highlight w:val="none"/>
          <w:lang w:eastAsia="zh-CN"/>
        </w:rPr>
        <w:t>其它</w:t>
      </w:r>
    </w:p>
    <w:p w14:paraId="29397B47">
      <w:pPr>
        <w:pStyle w:val="36"/>
        <w:numPr>
          <w:ilvl w:val="1"/>
          <w:numId w:val="41"/>
        </w:numPr>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所有经一方或双方签署确认的文件（包括会议纪要、补充协议、往来信函）、采购文件、要约文件和响应承诺文件、合同附件及《中标通知书》均为本合同不可分割的有效组成部分，具有法律效力和履约义务，其缔约生效日期为有效签署或盖章确认之日期。</w:t>
      </w:r>
    </w:p>
    <w:p w14:paraId="4A93F196">
      <w:pPr>
        <w:pStyle w:val="36"/>
        <w:numPr>
          <w:ilvl w:val="1"/>
          <w:numId w:val="41"/>
        </w:numPr>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如一方地址、电话、传真号码有变更，应在变更当日内书面通知对方，否则，应承担相应责任。</w:t>
      </w:r>
    </w:p>
    <w:p w14:paraId="5E5765EF">
      <w:pPr>
        <w:pStyle w:val="36"/>
        <w:numPr>
          <w:ilvl w:val="1"/>
          <w:numId w:val="41"/>
        </w:numPr>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未经甲方书面同意，乙方不得擅自向第三方转让本合同任何义务。</w:t>
      </w:r>
    </w:p>
    <w:p w14:paraId="1F406D16">
      <w:pPr>
        <w:pStyle w:val="36"/>
        <w:numPr>
          <w:ilvl w:val="1"/>
          <w:numId w:val="41"/>
        </w:numPr>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本合同一式份，甲方执份、乙方执份。</w:t>
      </w:r>
    </w:p>
    <w:p w14:paraId="5A421094">
      <w:pPr>
        <w:pStyle w:val="36"/>
        <w:numPr>
          <w:ilvl w:val="1"/>
          <w:numId w:val="41"/>
        </w:numPr>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本合同共计页A4纸张，缺页之合同为无效合同。</w:t>
      </w:r>
    </w:p>
    <w:p w14:paraId="5E49F39F">
      <w:pPr>
        <w:pStyle w:val="36"/>
        <w:numPr>
          <w:ilvl w:val="1"/>
          <w:numId w:val="41"/>
        </w:numPr>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本合同签约履约地点：广东省佛山市。</w:t>
      </w:r>
    </w:p>
    <w:p w14:paraId="572CDC00">
      <w:pPr>
        <w:pStyle w:val="36"/>
        <w:numPr>
          <w:ilvl w:val="1"/>
          <w:numId w:val="41"/>
        </w:numPr>
        <w:spacing w:line="360" w:lineRule="auto"/>
        <w:rPr>
          <w:rFonts w:hint="eastAsia"/>
          <w:szCs w:val="21"/>
          <w:highlight w:val="none"/>
        </w:rPr>
      </w:pPr>
      <w:r>
        <w:rPr>
          <w:rFonts w:hint="eastAsia" w:ascii="宋体" w:hAnsi="宋体" w:eastAsia="宋体" w:cs="宋体"/>
          <w:sz w:val="24"/>
          <w:szCs w:val="24"/>
          <w:highlight w:val="none"/>
        </w:rPr>
        <w:t>双方均已对以上各条款及附件作充分了解，并明确理解由此而产生的相关权责。</w:t>
      </w:r>
    </w:p>
    <w:p w14:paraId="50F8E376">
      <w:pPr>
        <w:pStyle w:val="36"/>
        <w:spacing w:line="360" w:lineRule="auto"/>
        <w:rPr>
          <w:rFonts w:hint="eastAsia" w:eastAsia="宋体"/>
          <w:sz w:val="24"/>
          <w:szCs w:val="24"/>
          <w:highlight w:val="none"/>
          <w:lang w:eastAsia="zh-CN"/>
        </w:rPr>
      </w:pPr>
    </w:p>
    <w:tbl>
      <w:tblPr>
        <w:tblStyle w:val="20"/>
        <w:tblW w:w="9360" w:type="dxa"/>
        <w:tblInd w:w="-72" w:type="dxa"/>
        <w:tblLayout w:type="fixed"/>
        <w:tblCellMar>
          <w:top w:w="0" w:type="dxa"/>
          <w:left w:w="108" w:type="dxa"/>
          <w:bottom w:w="0" w:type="dxa"/>
          <w:right w:w="108" w:type="dxa"/>
        </w:tblCellMar>
      </w:tblPr>
      <w:tblGrid>
        <w:gridCol w:w="4680"/>
        <w:gridCol w:w="4680"/>
      </w:tblGrid>
      <w:tr w14:paraId="479D5CFC">
        <w:tblPrEx>
          <w:tblCellMar>
            <w:top w:w="0" w:type="dxa"/>
            <w:left w:w="108" w:type="dxa"/>
            <w:bottom w:w="0" w:type="dxa"/>
            <w:right w:w="108" w:type="dxa"/>
          </w:tblCellMar>
        </w:tblPrEx>
        <w:trPr>
          <w:trHeight w:val="2565" w:hRule="atLeast"/>
        </w:trPr>
        <w:tc>
          <w:tcPr>
            <w:tcW w:w="4680" w:type="dxa"/>
            <w:tcBorders>
              <w:top w:val="single" w:color="auto" w:sz="4" w:space="0"/>
              <w:left w:val="single" w:color="auto" w:sz="4" w:space="0"/>
              <w:bottom w:val="single" w:color="auto" w:sz="4" w:space="0"/>
              <w:right w:val="single" w:color="auto" w:sz="4" w:space="0"/>
            </w:tcBorders>
            <w:noWrap w:val="0"/>
            <w:vAlign w:val="top"/>
          </w:tcPr>
          <w:p w14:paraId="5C9D378C">
            <w:pPr>
              <w:pStyle w:val="36"/>
              <w:spacing w:line="480" w:lineRule="auto"/>
              <w:rPr>
                <w:rFonts w:hint="eastAsia"/>
                <w:b/>
                <w:bCs/>
                <w:sz w:val="24"/>
                <w:szCs w:val="24"/>
                <w:highlight w:val="none"/>
              </w:rPr>
            </w:pPr>
            <w:r>
              <w:rPr>
                <w:rFonts w:hint="eastAsia"/>
                <w:b/>
                <w:bCs/>
                <w:sz w:val="24"/>
                <w:szCs w:val="24"/>
                <w:highlight w:val="none"/>
              </w:rPr>
              <w:t>甲方（盖章）：</w:t>
            </w:r>
          </w:p>
          <w:p w14:paraId="68CE9A91">
            <w:pPr>
              <w:pStyle w:val="36"/>
              <w:spacing w:line="360" w:lineRule="auto"/>
              <w:rPr>
                <w:sz w:val="24"/>
                <w:szCs w:val="24"/>
                <w:highlight w:val="none"/>
                <w:u w:val="dotted"/>
              </w:rPr>
            </w:pPr>
            <w:r>
              <w:rPr>
                <w:rFonts w:hint="eastAsia"/>
                <w:sz w:val="24"/>
                <w:szCs w:val="24"/>
                <w:highlight w:val="none"/>
              </w:rPr>
              <w:t>代表：</w:t>
            </w:r>
            <w:r>
              <w:rPr>
                <w:sz w:val="24"/>
                <w:szCs w:val="24"/>
                <w:highlight w:val="none"/>
              </w:rPr>
              <w:t> </w:t>
            </w:r>
          </w:p>
          <w:p w14:paraId="743A0177">
            <w:pPr>
              <w:pStyle w:val="36"/>
              <w:rPr>
                <w:sz w:val="24"/>
                <w:szCs w:val="24"/>
                <w:highlight w:val="none"/>
              </w:rPr>
            </w:pPr>
            <w:r>
              <w:rPr>
                <w:rFonts w:hint="eastAsia"/>
                <w:sz w:val="24"/>
                <w:szCs w:val="24"/>
                <w:highlight w:val="none"/>
              </w:rPr>
              <w:t>地址：</w:t>
            </w:r>
          </w:p>
          <w:p w14:paraId="3D5A7239">
            <w:pPr>
              <w:pStyle w:val="36"/>
              <w:rPr>
                <w:sz w:val="24"/>
                <w:szCs w:val="24"/>
                <w:highlight w:val="none"/>
              </w:rPr>
            </w:pPr>
            <w:r>
              <w:rPr>
                <w:rFonts w:hint="eastAsia"/>
                <w:sz w:val="24"/>
                <w:szCs w:val="24"/>
                <w:highlight w:val="none"/>
              </w:rPr>
              <w:t>电话：</w:t>
            </w:r>
          </w:p>
          <w:p w14:paraId="614DFEB2">
            <w:pPr>
              <w:pStyle w:val="36"/>
              <w:rPr>
                <w:sz w:val="24"/>
                <w:szCs w:val="24"/>
                <w:highlight w:val="none"/>
              </w:rPr>
            </w:pPr>
            <w:r>
              <w:rPr>
                <w:rFonts w:hint="eastAsia"/>
                <w:sz w:val="24"/>
                <w:szCs w:val="24"/>
                <w:highlight w:val="none"/>
              </w:rPr>
              <w:t>传真：</w:t>
            </w:r>
          </w:p>
          <w:p w14:paraId="44AADE68">
            <w:pPr>
              <w:pStyle w:val="36"/>
              <w:spacing w:line="360" w:lineRule="auto"/>
              <w:rPr>
                <w:b/>
                <w:bCs/>
                <w:sz w:val="24"/>
                <w:szCs w:val="24"/>
                <w:highlight w:val="none"/>
              </w:rPr>
            </w:pPr>
            <w:r>
              <w:rPr>
                <w:rFonts w:hint="eastAsia"/>
                <w:sz w:val="24"/>
                <w:szCs w:val="24"/>
                <w:highlight w:val="none"/>
              </w:rPr>
              <w:t>日期：年月日</w:t>
            </w:r>
          </w:p>
        </w:tc>
        <w:tc>
          <w:tcPr>
            <w:tcW w:w="4680" w:type="dxa"/>
            <w:tcBorders>
              <w:top w:val="single" w:color="auto" w:sz="4" w:space="0"/>
              <w:left w:val="nil"/>
              <w:bottom w:val="single" w:color="auto" w:sz="4" w:space="0"/>
              <w:right w:val="single" w:color="auto" w:sz="4" w:space="0"/>
            </w:tcBorders>
            <w:noWrap w:val="0"/>
            <w:vAlign w:val="top"/>
          </w:tcPr>
          <w:p w14:paraId="133488B2">
            <w:pPr>
              <w:pStyle w:val="36"/>
              <w:spacing w:line="480" w:lineRule="auto"/>
              <w:rPr>
                <w:b/>
                <w:bCs/>
                <w:sz w:val="24"/>
                <w:szCs w:val="24"/>
                <w:highlight w:val="none"/>
              </w:rPr>
            </w:pPr>
            <w:r>
              <w:rPr>
                <w:rFonts w:hint="eastAsia"/>
                <w:b/>
                <w:bCs/>
                <w:sz w:val="24"/>
                <w:szCs w:val="24"/>
                <w:highlight w:val="none"/>
              </w:rPr>
              <w:t>乙方（盖章）：</w:t>
            </w:r>
          </w:p>
          <w:p w14:paraId="35AF47E7">
            <w:pPr>
              <w:pStyle w:val="36"/>
              <w:spacing w:line="360" w:lineRule="auto"/>
              <w:rPr>
                <w:rFonts w:hint="eastAsia" w:eastAsia="宋体"/>
                <w:sz w:val="24"/>
                <w:szCs w:val="24"/>
                <w:highlight w:val="none"/>
                <w:u w:val="dotted"/>
                <w:lang w:eastAsia="zh-CN"/>
              </w:rPr>
            </w:pPr>
            <w:r>
              <w:rPr>
                <w:rFonts w:hint="eastAsia"/>
                <w:sz w:val="24"/>
                <w:szCs w:val="24"/>
                <w:highlight w:val="none"/>
              </w:rPr>
              <w:t>代表：</w:t>
            </w:r>
          </w:p>
          <w:p w14:paraId="5F6BF14C">
            <w:pPr>
              <w:pStyle w:val="36"/>
              <w:rPr>
                <w:sz w:val="24"/>
                <w:szCs w:val="24"/>
                <w:highlight w:val="none"/>
              </w:rPr>
            </w:pPr>
            <w:r>
              <w:rPr>
                <w:rFonts w:hint="eastAsia"/>
                <w:sz w:val="24"/>
                <w:szCs w:val="24"/>
                <w:highlight w:val="none"/>
              </w:rPr>
              <w:t>地址：</w:t>
            </w:r>
          </w:p>
          <w:p w14:paraId="266E62C9">
            <w:pPr>
              <w:pStyle w:val="36"/>
              <w:rPr>
                <w:sz w:val="24"/>
                <w:szCs w:val="24"/>
                <w:highlight w:val="none"/>
              </w:rPr>
            </w:pPr>
            <w:r>
              <w:rPr>
                <w:rFonts w:hint="eastAsia"/>
                <w:sz w:val="24"/>
                <w:szCs w:val="24"/>
                <w:highlight w:val="none"/>
              </w:rPr>
              <w:t>电话：</w:t>
            </w:r>
          </w:p>
          <w:p w14:paraId="26528716">
            <w:pPr>
              <w:pStyle w:val="36"/>
              <w:rPr>
                <w:sz w:val="24"/>
                <w:szCs w:val="24"/>
                <w:highlight w:val="none"/>
              </w:rPr>
            </w:pPr>
            <w:r>
              <w:rPr>
                <w:rFonts w:hint="eastAsia"/>
                <w:sz w:val="24"/>
                <w:szCs w:val="24"/>
                <w:highlight w:val="none"/>
              </w:rPr>
              <w:t>传真：</w:t>
            </w:r>
          </w:p>
          <w:p w14:paraId="186EAAC2">
            <w:pPr>
              <w:pStyle w:val="36"/>
              <w:spacing w:line="360" w:lineRule="auto"/>
              <w:rPr>
                <w:b/>
                <w:bCs/>
                <w:sz w:val="24"/>
                <w:szCs w:val="24"/>
                <w:highlight w:val="none"/>
              </w:rPr>
            </w:pPr>
            <w:r>
              <w:rPr>
                <w:rFonts w:hint="eastAsia"/>
                <w:sz w:val="24"/>
                <w:szCs w:val="24"/>
                <w:highlight w:val="none"/>
              </w:rPr>
              <w:t>日期：年月日</w:t>
            </w:r>
          </w:p>
        </w:tc>
      </w:tr>
      <w:tr w14:paraId="430FEA16">
        <w:tblPrEx>
          <w:tblCellMar>
            <w:top w:w="0" w:type="dxa"/>
            <w:left w:w="108" w:type="dxa"/>
            <w:bottom w:w="0" w:type="dxa"/>
            <w:right w:w="108" w:type="dxa"/>
          </w:tblCellMar>
        </w:tblPrEx>
        <w:trPr>
          <w:trHeight w:val="1695" w:hRule="atLeast"/>
        </w:trPr>
        <w:tc>
          <w:tcPr>
            <w:tcW w:w="4680" w:type="dxa"/>
            <w:tcBorders>
              <w:top w:val="single" w:color="auto" w:sz="4" w:space="0"/>
              <w:left w:val="single" w:color="auto" w:sz="4" w:space="0"/>
              <w:bottom w:val="single" w:color="auto" w:sz="4" w:space="0"/>
              <w:right w:val="single" w:color="auto" w:sz="4" w:space="0"/>
            </w:tcBorders>
            <w:noWrap w:val="0"/>
            <w:vAlign w:val="top"/>
          </w:tcPr>
          <w:p w14:paraId="328AB3DB">
            <w:pPr>
              <w:pStyle w:val="36"/>
              <w:rPr>
                <w:sz w:val="24"/>
                <w:szCs w:val="24"/>
                <w:highlight w:val="none"/>
              </w:rPr>
            </w:pPr>
          </w:p>
          <w:p w14:paraId="132C9D19">
            <w:pPr>
              <w:pStyle w:val="36"/>
              <w:rPr>
                <w:b/>
                <w:bCs/>
                <w:sz w:val="24"/>
                <w:szCs w:val="24"/>
                <w:highlight w:val="none"/>
              </w:rPr>
            </w:pPr>
            <w:r>
              <w:rPr>
                <w:rFonts w:hint="eastAsia"/>
                <w:b/>
                <w:bCs/>
                <w:sz w:val="24"/>
                <w:szCs w:val="24"/>
                <w:highlight w:val="none"/>
              </w:rPr>
              <w:t>收款方、开票方须与乙方一致；专户为：</w:t>
            </w:r>
          </w:p>
          <w:p w14:paraId="48978D9B">
            <w:pPr>
              <w:pStyle w:val="36"/>
              <w:rPr>
                <w:sz w:val="24"/>
                <w:szCs w:val="24"/>
                <w:highlight w:val="none"/>
              </w:rPr>
            </w:pPr>
          </w:p>
          <w:p w14:paraId="58EC8FE5">
            <w:pPr>
              <w:pStyle w:val="36"/>
              <w:rPr>
                <w:b/>
                <w:bCs/>
                <w:sz w:val="24"/>
                <w:szCs w:val="24"/>
                <w:highlight w:val="none"/>
              </w:rPr>
            </w:pPr>
            <w:r>
              <w:rPr>
                <w:rFonts w:hint="eastAsia"/>
                <w:sz w:val="24"/>
                <w:szCs w:val="24"/>
                <w:highlight w:val="none"/>
              </w:rPr>
              <w:t>开户名称：</w:t>
            </w:r>
          </w:p>
          <w:p w14:paraId="2BA53B06">
            <w:pPr>
              <w:pStyle w:val="36"/>
              <w:rPr>
                <w:b/>
                <w:bCs/>
                <w:sz w:val="24"/>
                <w:szCs w:val="24"/>
                <w:highlight w:val="none"/>
              </w:rPr>
            </w:pPr>
            <w:r>
              <w:rPr>
                <w:rFonts w:hint="eastAsia"/>
                <w:sz w:val="24"/>
                <w:szCs w:val="24"/>
                <w:highlight w:val="none"/>
              </w:rPr>
              <w:t>银行</w:t>
            </w:r>
            <w:r>
              <w:rPr>
                <w:rFonts w:hint="eastAsia"/>
                <w:sz w:val="24"/>
                <w:szCs w:val="24"/>
                <w:highlight w:val="none"/>
                <w:lang w:eastAsia="zh-CN"/>
              </w:rPr>
              <w:t>账号</w:t>
            </w:r>
            <w:r>
              <w:rPr>
                <w:rFonts w:hint="eastAsia"/>
                <w:sz w:val="24"/>
                <w:szCs w:val="24"/>
                <w:highlight w:val="none"/>
              </w:rPr>
              <w:t>：</w:t>
            </w:r>
          </w:p>
          <w:p w14:paraId="405791DC">
            <w:pPr>
              <w:pStyle w:val="36"/>
              <w:spacing w:line="360" w:lineRule="auto"/>
              <w:rPr>
                <w:b/>
                <w:bCs/>
                <w:sz w:val="24"/>
                <w:szCs w:val="24"/>
                <w:highlight w:val="none"/>
              </w:rPr>
            </w:pPr>
            <w:r>
              <w:rPr>
                <w:rFonts w:hint="eastAsia"/>
                <w:sz w:val="24"/>
                <w:szCs w:val="24"/>
                <w:highlight w:val="none"/>
              </w:rPr>
              <w:t>开</w:t>
            </w:r>
            <w:r>
              <w:rPr>
                <w:sz w:val="24"/>
                <w:szCs w:val="24"/>
                <w:highlight w:val="none"/>
              </w:rPr>
              <w:t> </w:t>
            </w:r>
            <w:r>
              <w:rPr>
                <w:rFonts w:hint="eastAsia"/>
                <w:sz w:val="24"/>
                <w:szCs w:val="24"/>
                <w:highlight w:val="none"/>
              </w:rPr>
              <w:t>户</w:t>
            </w:r>
            <w:r>
              <w:rPr>
                <w:sz w:val="24"/>
                <w:szCs w:val="24"/>
                <w:highlight w:val="none"/>
              </w:rPr>
              <w:t> </w:t>
            </w:r>
            <w:r>
              <w:rPr>
                <w:rFonts w:hint="eastAsia"/>
                <w:sz w:val="24"/>
                <w:szCs w:val="24"/>
                <w:highlight w:val="none"/>
              </w:rPr>
              <w:t>行：</w:t>
            </w:r>
          </w:p>
        </w:tc>
        <w:tc>
          <w:tcPr>
            <w:tcW w:w="4680" w:type="dxa"/>
            <w:tcBorders>
              <w:top w:val="single" w:color="auto" w:sz="4" w:space="0"/>
              <w:left w:val="single" w:color="auto" w:sz="4" w:space="0"/>
              <w:bottom w:val="single" w:color="auto" w:sz="4" w:space="0"/>
              <w:right w:val="single" w:color="auto" w:sz="4" w:space="0"/>
            </w:tcBorders>
            <w:noWrap w:val="0"/>
            <w:vAlign w:val="top"/>
          </w:tcPr>
          <w:p w14:paraId="19513527">
            <w:pPr>
              <w:pStyle w:val="36"/>
              <w:spacing w:line="360" w:lineRule="auto"/>
              <w:rPr>
                <w:rFonts w:hint="eastAsia"/>
                <w:sz w:val="24"/>
                <w:szCs w:val="24"/>
                <w:highlight w:val="none"/>
              </w:rPr>
            </w:pPr>
          </w:p>
        </w:tc>
      </w:tr>
    </w:tbl>
    <w:p w14:paraId="6D741FEC">
      <w:pPr>
        <w:spacing w:line="432" w:lineRule="auto"/>
        <w:rPr>
          <w:rFonts w:ascii="宋体" w:hAnsi="宋体"/>
          <w:color w:val="auto"/>
          <w:highlight w:val="none"/>
        </w:rPr>
      </w:pPr>
    </w:p>
    <w:p w14:paraId="2DD428A2">
      <w:pPr>
        <w:rPr>
          <w:rFonts w:ascii="宋体" w:hAnsi="宋体"/>
          <w:color w:val="auto"/>
          <w:highlight w:val="none"/>
        </w:rPr>
      </w:pPr>
    </w:p>
    <w:p w14:paraId="685C3DEE">
      <w:pPr>
        <w:spacing w:line="360" w:lineRule="auto"/>
        <w:rPr>
          <w:color w:val="auto"/>
          <w:sz w:val="24"/>
          <w:szCs w:val="24"/>
          <w:highlight w:val="none"/>
        </w:rPr>
      </w:pPr>
      <w:r>
        <w:rPr>
          <w:rFonts w:hint="eastAsia"/>
          <w:b/>
          <w:bCs/>
          <w:color w:val="auto"/>
          <w:sz w:val="24"/>
          <w:szCs w:val="24"/>
          <w:highlight w:val="none"/>
        </w:rPr>
        <w:t>合同附件清单</w:t>
      </w:r>
      <w:r>
        <w:rPr>
          <w:rFonts w:hint="eastAsia"/>
          <w:color w:val="auto"/>
          <w:sz w:val="24"/>
          <w:szCs w:val="24"/>
          <w:highlight w:val="none"/>
        </w:rPr>
        <w:t>（如有，附后；若没有，可删除此部分内容）：</w:t>
      </w:r>
    </w:p>
    <w:p w14:paraId="2F38011B">
      <w:pPr>
        <w:numPr>
          <w:ilvl w:val="0"/>
          <w:numId w:val="42"/>
        </w:numPr>
        <w:tabs>
          <w:tab w:val="left" w:pos="420"/>
        </w:tabs>
        <w:snapToGrid w:val="0"/>
        <w:spacing w:line="360" w:lineRule="auto"/>
        <w:ind w:left="425" w:leftChars="0" w:hanging="425" w:firstLineChars="0"/>
        <w:rPr>
          <w:rFonts w:ascii="宋体" w:hAnsi="宋体"/>
          <w:color w:val="auto"/>
          <w:sz w:val="24"/>
          <w:szCs w:val="24"/>
          <w:highlight w:val="none"/>
          <w:lang w:val="en-GB"/>
        </w:rPr>
      </w:pPr>
      <w:r>
        <w:rPr>
          <w:rFonts w:hint="eastAsia" w:ascii="宋体" w:hAnsi="宋体"/>
          <w:color w:val="auto"/>
          <w:sz w:val="24"/>
          <w:szCs w:val="24"/>
          <w:highlight w:val="none"/>
          <w:lang w:val="en-GB"/>
        </w:rPr>
        <w:t>本合同所有附件均在签订合同时编制，确立依据为</w:t>
      </w:r>
      <w:r>
        <w:rPr>
          <w:rFonts w:hint="eastAsia" w:ascii="宋体" w:hAnsi="宋体"/>
          <w:color w:val="auto"/>
          <w:sz w:val="24"/>
          <w:szCs w:val="24"/>
          <w:highlight w:val="none"/>
          <w:lang w:val="en-GB" w:eastAsia="zh-CN"/>
        </w:rPr>
        <w:t>竞投文件</w:t>
      </w:r>
      <w:r>
        <w:rPr>
          <w:rFonts w:hint="eastAsia" w:ascii="宋体" w:hAnsi="宋体"/>
          <w:color w:val="auto"/>
          <w:sz w:val="24"/>
          <w:szCs w:val="24"/>
          <w:highlight w:val="none"/>
          <w:lang w:val="en-GB"/>
        </w:rPr>
        <w:t>和乙方的</w:t>
      </w:r>
      <w:r>
        <w:rPr>
          <w:rFonts w:hint="eastAsia" w:ascii="宋体" w:hAnsi="宋体"/>
          <w:color w:val="auto"/>
          <w:sz w:val="24"/>
          <w:szCs w:val="24"/>
          <w:highlight w:val="none"/>
          <w:lang w:val="en-GB" w:eastAsia="zh-CN"/>
        </w:rPr>
        <w:t>资格审查</w:t>
      </w:r>
      <w:r>
        <w:rPr>
          <w:rFonts w:hint="eastAsia" w:ascii="宋体" w:hAnsi="宋体"/>
          <w:color w:val="auto"/>
          <w:sz w:val="24"/>
          <w:szCs w:val="24"/>
          <w:highlight w:val="none"/>
          <w:lang w:val="en-GB"/>
        </w:rPr>
        <w:t>文件及相关确认文件；合同附件内容由甲乙双方共同协商确定。</w:t>
      </w:r>
    </w:p>
    <w:p w14:paraId="280B90BE">
      <w:pPr>
        <w:numPr>
          <w:ilvl w:val="0"/>
          <w:numId w:val="42"/>
        </w:numPr>
        <w:tabs>
          <w:tab w:val="left" w:pos="420"/>
        </w:tabs>
        <w:snapToGrid w:val="0"/>
        <w:spacing w:line="360" w:lineRule="auto"/>
        <w:ind w:left="425" w:leftChars="0" w:hanging="425" w:firstLineChars="0"/>
        <w:rPr>
          <w:rFonts w:hint="eastAsia" w:ascii="宋体" w:hAnsi="宋体"/>
          <w:color w:val="auto"/>
          <w:sz w:val="24"/>
          <w:szCs w:val="24"/>
          <w:highlight w:val="none"/>
          <w:lang w:val="en-GB"/>
        </w:rPr>
      </w:pPr>
      <w:r>
        <w:rPr>
          <w:rFonts w:hint="eastAsia" w:ascii="宋体" w:hAnsi="宋体"/>
          <w:color w:val="auto"/>
          <w:sz w:val="24"/>
          <w:szCs w:val="24"/>
          <w:highlight w:val="none"/>
          <w:lang w:val="en-GB"/>
        </w:rPr>
        <w:t>项目重要内容（如：经甲方审核的项目实施方案、项目标的主要内容、乙方提供的参与本项目实施的项目负责人和其他技术人员名单、项目组人员的职称证书和资格证书、项目组人员的联系方式、需求变更说明、培训方案等）可作为附件。</w:t>
      </w:r>
      <w:bookmarkStart w:id="79" w:name="_Toc13130"/>
      <w:bookmarkStart w:id="80" w:name="_Toc334432597"/>
      <w:bookmarkStart w:id="81" w:name="_Toc15627"/>
      <w:bookmarkStart w:id="82" w:name="_Toc13502"/>
    </w:p>
    <w:p w14:paraId="38303A63">
      <w:pPr>
        <w:rPr>
          <w:rFonts w:hint="eastAsia" w:ascii="宋体" w:hAnsi="宋体"/>
          <w:color w:val="auto"/>
          <w:sz w:val="24"/>
          <w:szCs w:val="24"/>
          <w:highlight w:val="none"/>
          <w:lang w:val="en-GB"/>
        </w:rPr>
      </w:pPr>
      <w:r>
        <w:rPr>
          <w:rFonts w:hint="eastAsia" w:ascii="宋体" w:hAnsi="宋体"/>
          <w:color w:val="auto"/>
          <w:sz w:val="24"/>
          <w:szCs w:val="24"/>
          <w:highlight w:val="none"/>
          <w:lang w:val="en-GB"/>
        </w:rPr>
        <w:br w:type="page"/>
      </w:r>
    </w:p>
    <w:p w14:paraId="6311278A">
      <w:pPr>
        <w:pStyle w:val="2"/>
        <w:rPr>
          <w:rFonts w:hint="eastAsia"/>
          <w:highlight w:val="none"/>
          <w:lang w:val="en-GB"/>
        </w:rPr>
      </w:pPr>
    </w:p>
    <w:p w14:paraId="4FCC9093">
      <w:pPr>
        <w:spacing w:after="120" w:afterLines="50" w:line="360" w:lineRule="auto"/>
        <w:jc w:val="center"/>
        <w:outlineLvl w:val="0"/>
        <w:rPr>
          <w:rFonts w:hint="eastAsia" w:ascii="宋体" w:hAnsi="宋体" w:eastAsia="宋体" w:cs="Times New Roman"/>
          <w:b/>
          <w:color w:val="auto"/>
          <w:kern w:val="2"/>
          <w:sz w:val="36"/>
          <w:szCs w:val="36"/>
          <w:highlight w:val="none"/>
          <w:lang w:val="en-US" w:eastAsia="zh-CN" w:bidi="ar-SA"/>
        </w:rPr>
      </w:pPr>
      <w:bookmarkStart w:id="83" w:name="_Toc27266"/>
      <w:r>
        <w:rPr>
          <w:rFonts w:hint="eastAsia" w:ascii="宋体" w:hAnsi="宋体" w:eastAsia="宋体" w:cs="Times New Roman"/>
          <w:b/>
          <w:color w:val="auto"/>
          <w:kern w:val="2"/>
          <w:sz w:val="36"/>
          <w:szCs w:val="36"/>
          <w:highlight w:val="none"/>
          <w:lang w:val="en-US" w:eastAsia="zh-CN" w:bidi="ar-SA"/>
        </w:rPr>
        <w:t>第五部分资格审查文件格式</w:t>
      </w:r>
      <w:bookmarkEnd w:id="79"/>
      <w:bookmarkEnd w:id="80"/>
      <w:bookmarkEnd w:id="81"/>
      <w:bookmarkEnd w:id="82"/>
      <w:bookmarkEnd w:id="83"/>
    </w:p>
    <w:p w14:paraId="13867F14">
      <w:pPr>
        <w:widowControl/>
        <w:jc w:val="left"/>
        <w:rPr>
          <w:color w:val="auto"/>
          <w:highlight w:val="none"/>
        </w:rPr>
      </w:pPr>
    </w:p>
    <w:p w14:paraId="5B29DC7E">
      <w:pPr>
        <w:spacing w:line="360" w:lineRule="auto"/>
        <w:jc w:val="center"/>
        <w:rPr>
          <w:b/>
          <w:color w:val="auto"/>
          <w:sz w:val="32"/>
          <w:szCs w:val="32"/>
          <w:highlight w:val="none"/>
        </w:rPr>
      </w:pPr>
      <w:r>
        <w:rPr>
          <w:rFonts w:hint="eastAsia"/>
          <w:b/>
          <w:color w:val="auto"/>
          <w:sz w:val="32"/>
          <w:szCs w:val="32"/>
          <w:highlight w:val="none"/>
          <w:lang w:eastAsia="zh-CN"/>
        </w:rPr>
        <w:t>资格审查</w:t>
      </w:r>
      <w:r>
        <w:rPr>
          <w:rFonts w:hint="eastAsia"/>
          <w:b/>
          <w:color w:val="auto"/>
          <w:sz w:val="32"/>
          <w:szCs w:val="32"/>
          <w:highlight w:val="none"/>
        </w:rPr>
        <w:t>文件封面及目录部分</w:t>
      </w:r>
    </w:p>
    <w:p w14:paraId="69C575A3">
      <w:pPr>
        <w:spacing w:line="312" w:lineRule="auto"/>
        <w:ind w:firstLine="275" w:firstLineChars="98"/>
        <w:rPr>
          <w:b/>
          <w:color w:val="auto"/>
          <w:sz w:val="28"/>
          <w:szCs w:val="28"/>
          <w:highlight w:val="none"/>
        </w:rPr>
      </w:pPr>
    </w:p>
    <w:p w14:paraId="6E738618">
      <w:pPr>
        <w:numPr>
          <w:ilvl w:val="0"/>
          <w:numId w:val="43"/>
        </w:numPr>
        <w:tabs>
          <w:tab w:val="left" w:pos="720"/>
        </w:tabs>
        <w:spacing w:line="480" w:lineRule="auto"/>
        <w:ind w:left="720" w:leftChars="0" w:hanging="540" w:firstLineChars="0"/>
        <w:rPr>
          <w:b/>
          <w:color w:val="auto"/>
          <w:sz w:val="28"/>
          <w:szCs w:val="28"/>
          <w:highlight w:val="none"/>
        </w:rPr>
      </w:pPr>
      <w:r>
        <w:rPr>
          <w:rFonts w:hint="eastAsia"/>
          <w:b/>
          <w:color w:val="auto"/>
          <w:sz w:val="28"/>
          <w:szCs w:val="28"/>
          <w:highlight w:val="none"/>
          <w:lang w:eastAsia="zh-CN"/>
        </w:rPr>
        <w:t>投标人</w:t>
      </w:r>
      <w:r>
        <w:rPr>
          <w:rFonts w:hint="eastAsia"/>
          <w:b/>
          <w:color w:val="auto"/>
          <w:sz w:val="28"/>
          <w:szCs w:val="28"/>
          <w:highlight w:val="none"/>
        </w:rPr>
        <w:t>应按本《</w:t>
      </w:r>
      <w:r>
        <w:rPr>
          <w:rFonts w:hint="eastAsia"/>
          <w:b/>
          <w:color w:val="auto"/>
          <w:sz w:val="28"/>
          <w:szCs w:val="28"/>
          <w:highlight w:val="none"/>
          <w:lang w:eastAsia="zh-CN"/>
        </w:rPr>
        <w:t>竞投文件</w:t>
      </w:r>
      <w:r>
        <w:rPr>
          <w:rFonts w:hint="eastAsia"/>
          <w:b/>
          <w:color w:val="auto"/>
          <w:sz w:val="28"/>
          <w:szCs w:val="28"/>
          <w:highlight w:val="none"/>
        </w:rPr>
        <w:t>》要求，自行设计和编制</w:t>
      </w:r>
      <w:r>
        <w:rPr>
          <w:rFonts w:hint="eastAsia"/>
          <w:b/>
          <w:color w:val="auto"/>
          <w:sz w:val="28"/>
          <w:szCs w:val="28"/>
          <w:highlight w:val="none"/>
          <w:lang w:eastAsia="zh-CN"/>
        </w:rPr>
        <w:t>资格审查</w:t>
      </w:r>
      <w:r>
        <w:rPr>
          <w:rFonts w:hint="eastAsia"/>
          <w:b/>
          <w:color w:val="auto"/>
          <w:sz w:val="28"/>
          <w:szCs w:val="28"/>
          <w:highlight w:val="none"/>
        </w:rPr>
        <w:t>文件的封面和目录部分。</w:t>
      </w:r>
    </w:p>
    <w:p w14:paraId="45D22B30">
      <w:pPr>
        <w:numPr>
          <w:ilvl w:val="0"/>
          <w:numId w:val="43"/>
        </w:numPr>
        <w:tabs>
          <w:tab w:val="left" w:pos="720"/>
        </w:tabs>
        <w:spacing w:line="480" w:lineRule="auto"/>
        <w:ind w:left="720" w:leftChars="0" w:hanging="540" w:firstLineChars="0"/>
        <w:rPr>
          <w:b/>
          <w:color w:val="auto"/>
          <w:sz w:val="28"/>
          <w:szCs w:val="28"/>
          <w:highlight w:val="none"/>
        </w:rPr>
      </w:pPr>
      <w:r>
        <w:rPr>
          <w:rFonts w:hint="eastAsia"/>
          <w:b/>
          <w:color w:val="auto"/>
          <w:sz w:val="28"/>
          <w:szCs w:val="28"/>
          <w:highlight w:val="none"/>
          <w:lang w:eastAsia="zh-CN"/>
        </w:rPr>
        <w:t>资格审查</w:t>
      </w:r>
      <w:r>
        <w:rPr>
          <w:rFonts w:hint="eastAsia"/>
          <w:b/>
          <w:color w:val="auto"/>
          <w:sz w:val="28"/>
          <w:szCs w:val="28"/>
          <w:highlight w:val="none"/>
        </w:rPr>
        <w:t>文件封面上须包含但不限于以下内容：</w:t>
      </w:r>
    </w:p>
    <w:p w14:paraId="79B5C305">
      <w:pPr>
        <w:numPr>
          <w:ilvl w:val="0"/>
          <w:numId w:val="44"/>
        </w:numPr>
        <w:tabs>
          <w:tab w:val="left" w:pos="1440"/>
        </w:tabs>
        <w:spacing w:line="480" w:lineRule="auto"/>
        <w:ind w:left="454" w:leftChars="0" w:hanging="34" w:firstLineChars="0"/>
        <w:rPr>
          <w:rFonts w:ascii="宋体"/>
          <w:color w:val="auto"/>
          <w:sz w:val="24"/>
          <w:highlight w:val="none"/>
          <w:lang w:val="en-GB"/>
        </w:rPr>
      </w:pPr>
      <w:r>
        <w:rPr>
          <w:rFonts w:hint="eastAsia" w:ascii="宋体" w:hAnsi="宋体"/>
          <w:color w:val="auto"/>
          <w:sz w:val="24"/>
          <w:highlight w:val="none"/>
          <w:lang w:val="en-GB"/>
        </w:rPr>
        <w:t>项目名称；</w:t>
      </w:r>
    </w:p>
    <w:p w14:paraId="4535DD27">
      <w:pPr>
        <w:numPr>
          <w:ilvl w:val="0"/>
          <w:numId w:val="44"/>
        </w:numPr>
        <w:tabs>
          <w:tab w:val="left" w:pos="1440"/>
        </w:tabs>
        <w:spacing w:line="480" w:lineRule="auto"/>
        <w:ind w:left="454" w:leftChars="0" w:hanging="34" w:firstLineChars="0"/>
        <w:rPr>
          <w:rFonts w:ascii="宋体"/>
          <w:color w:val="auto"/>
          <w:sz w:val="24"/>
          <w:highlight w:val="none"/>
          <w:lang w:val="en-GB"/>
        </w:rPr>
      </w:pPr>
      <w:r>
        <w:rPr>
          <w:rFonts w:hint="eastAsia" w:ascii="宋体" w:hAnsi="宋体"/>
          <w:color w:val="auto"/>
          <w:sz w:val="24"/>
          <w:highlight w:val="none"/>
          <w:lang w:val="en-GB" w:eastAsia="zh-CN"/>
        </w:rPr>
        <w:t>投标人</w:t>
      </w:r>
      <w:r>
        <w:rPr>
          <w:rFonts w:hint="eastAsia" w:ascii="宋体" w:hAnsi="宋体"/>
          <w:color w:val="auto"/>
          <w:sz w:val="24"/>
          <w:highlight w:val="none"/>
          <w:lang w:val="en-GB"/>
        </w:rPr>
        <w:t>名称；</w:t>
      </w:r>
    </w:p>
    <w:p w14:paraId="789DE767">
      <w:pPr>
        <w:numPr>
          <w:ilvl w:val="0"/>
          <w:numId w:val="44"/>
        </w:numPr>
        <w:tabs>
          <w:tab w:val="left" w:pos="1440"/>
        </w:tabs>
        <w:spacing w:line="480" w:lineRule="auto"/>
        <w:ind w:left="454" w:leftChars="0" w:hanging="34" w:firstLineChars="0"/>
        <w:rPr>
          <w:rFonts w:ascii="宋体"/>
          <w:color w:val="auto"/>
          <w:sz w:val="24"/>
          <w:highlight w:val="none"/>
          <w:lang w:val="en-GB"/>
        </w:rPr>
      </w:pPr>
      <w:r>
        <w:rPr>
          <w:rFonts w:hint="eastAsia" w:ascii="宋体" w:hAnsi="宋体"/>
          <w:color w:val="auto"/>
          <w:sz w:val="24"/>
          <w:highlight w:val="none"/>
        </w:rPr>
        <w:t>法定代表人</w:t>
      </w:r>
      <w:r>
        <w:rPr>
          <w:rFonts w:ascii="宋体" w:hAnsi="宋体"/>
          <w:color w:val="auto"/>
          <w:sz w:val="24"/>
          <w:highlight w:val="none"/>
        </w:rPr>
        <w:t>/</w:t>
      </w:r>
      <w:r>
        <w:rPr>
          <w:rFonts w:hint="eastAsia" w:ascii="宋体" w:hAnsi="宋体"/>
          <w:color w:val="auto"/>
          <w:sz w:val="24"/>
          <w:highlight w:val="none"/>
        </w:rPr>
        <w:t>负责人或</w:t>
      </w:r>
      <w:r>
        <w:rPr>
          <w:rFonts w:hint="eastAsia" w:ascii="宋体" w:hAnsi="宋体"/>
          <w:color w:val="auto"/>
          <w:sz w:val="24"/>
          <w:highlight w:val="none"/>
          <w:lang w:val="en-GB"/>
        </w:rPr>
        <w:t>授权代表姓名及联系电话（含传真号码）；</w:t>
      </w:r>
    </w:p>
    <w:p w14:paraId="5111E159">
      <w:pPr>
        <w:numPr>
          <w:ilvl w:val="0"/>
          <w:numId w:val="44"/>
        </w:numPr>
        <w:tabs>
          <w:tab w:val="left" w:pos="1440"/>
        </w:tabs>
        <w:spacing w:line="480" w:lineRule="auto"/>
        <w:ind w:left="454" w:leftChars="0" w:hanging="34" w:firstLineChars="0"/>
        <w:rPr>
          <w:rFonts w:ascii="宋体"/>
          <w:color w:val="auto"/>
          <w:sz w:val="24"/>
          <w:highlight w:val="none"/>
          <w:lang w:val="en-GB"/>
        </w:rPr>
      </w:pPr>
      <w:r>
        <w:rPr>
          <w:rFonts w:hint="eastAsia" w:ascii="宋体" w:hAnsi="宋体"/>
          <w:color w:val="auto"/>
          <w:sz w:val="24"/>
          <w:highlight w:val="none"/>
          <w:lang w:val="en-GB"/>
        </w:rPr>
        <w:t>注明“正本”或“副本”字样。</w:t>
      </w:r>
    </w:p>
    <w:p w14:paraId="41875922">
      <w:pPr>
        <w:numPr>
          <w:ilvl w:val="0"/>
          <w:numId w:val="43"/>
        </w:numPr>
        <w:tabs>
          <w:tab w:val="left" w:pos="720"/>
        </w:tabs>
        <w:spacing w:line="480" w:lineRule="auto"/>
        <w:ind w:left="720" w:leftChars="0" w:hanging="540" w:firstLineChars="0"/>
        <w:rPr>
          <w:color w:val="auto"/>
          <w:highlight w:val="none"/>
        </w:rPr>
      </w:pPr>
      <w:r>
        <w:rPr>
          <w:rFonts w:hint="eastAsia"/>
          <w:b/>
          <w:color w:val="auto"/>
          <w:sz w:val="28"/>
          <w:szCs w:val="28"/>
          <w:highlight w:val="none"/>
          <w:lang w:eastAsia="zh-CN"/>
        </w:rPr>
        <w:t>资格审查</w:t>
      </w:r>
      <w:r>
        <w:rPr>
          <w:rFonts w:hint="eastAsia"/>
          <w:b/>
          <w:color w:val="auto"/>
          <w:sz w:val="28"/>
          <w:szCs w:val="28"/>
          <w:highlight w:val="none"/>
        </w:rPr>
        <w:t>文件必须编制目录，且目录必须清晰、准确，与</w:t>
      </w:r>
      <w:r>
        <w:rPr>
          <w:rFonts w:hint="eastAsia"/>
          <w:b/>
          <w:color w:val="auto"/>
          <w:sz w:val="28"/>
          <w:szCs w:val="28"/>
          <w:highlight w:val="none"/>
          <w:lang w:eastAsia="zh-CN"/>
        </w:rPr>
        <w:t>资格审查</w:t>
      </w:r>
      <w:r>
        <w:rPr>
          <w:rFonts w:hint="eastAsia"/>
          <w:b/>
          <w:color w:val="auto"/>
          <w:sz w:val="28"/>
          <w:szCs w:val="28"/>
          <w:highlight w:val="none"/>
        </w:rPr>
        <w:t>文件中的每页所加注的页码相对应。</w:t>
      </w:r>
    </w:p>
    <w:p w14:paraId="45BADA44">
      <w:pPr>
        <w:numPr>
          <w:ilvl w:val="0"/>
          <w:numId w:val="43"/>
        </w:numPr>
        <w:tabs>
          <w:tab w:val="left" w:pos="720"/>
        </w:tabs>
        <w:spacing w:line="480" w:lineRule="auto"/>
        <w:ind w:left="720" w:leftChars="0" w:hanging="540" w:firstLineChars="0"/>
        <w:rPr>
          <w:b/>
          <w:color w:val="auto"/>
          <w:sz w:val="28"/>
          <w:szCs w:val="28"/>
          <w:highlight w:val="none"/>
        </w:rPr>
      </w:pPr>
      <w:r>
        <w:rPr>
          <w:rFonts w:hint="eastAsia"/>
          <w:b/>
          <w:color w:val="auto"/>
          <w:sz w:val="28"/>
          <w:szCs w:val="28"/>
          <w:highlight w:val="none"/>
          <w:lang w:eastAsia="zh-CN"/>
        </w:rPr>
        <w:t>资格审查</w:t>
      </w:r>
      <w:r>
        <w:rPr>
          <w:rFonts w:hint="eastAsia"/>
          <w:b/>
          <w:color w:val="auto"/>
          <w:sz w:val="28"/>
          <w:szCs w:val="28"/>
          <w:highlight w:val="none"/>
        </w:rPr>
        <w:t>文件【正本】和【副本】的封面须加盖</w:t>
      </w:r>
      <w:r>
        <w:rPr>
          <w:rFonts w:hint="eastAsia"/>
          <w:b/>
          <w:color w:val="auto"/>
          <w:sz w:val="28"/>
          <w:szCs w:val="28"/>
          <w:highlight w:val="none"/>
          <w:lang w:eastAsia="zh-CN"/>
        </w:rPr>
        <w:t>投标人</w:t>
      </w:r>
      <w:r>
        <w:rPr>
          <w:rFonts w:hint="eastAsia"/>
          <w:b/>
          <w:color w:val="auto"/>
          <w:sz w:val="28"/>
          <w:szCs w:val="28"/>
          <w:highlight w:val="none"/>
        </w:rPr>
        <w:t>公章。</w:t>
      </w:r>
    </w:p>
    <w:p w14:paraId="419FF676">
      <w:pPr>
        <w:spacing w:line="480" w:lineRule="auto"/>
        <w:ind w:left="180"/>
        <w:rPr>
          <w:color w:val="auto"/>
          <w:highlight w:val="none"/>
        </w:rPr>
      </w:pPr>
    </w:p>
    <w:p w14:paraId="5966DD87">
      <w:pPr>
        <w:spacing w:line="312" w:lineRule="auto"/>
        <w:ind w:firstLine="600" w:firstLineChars="250"/>
        <w:rPr>
          <w:color w:val="auto"/>
          <w:sz w:val="24"/>
          <w:highlight w:val="none"/>
        </w:rPr>
      </w:pPr>
    </w:p>
    <w:p w14:paraId="6FCAD066">
      <w:pPr>
        <w:spacing w:line="312" w:lineRule="auto"/>
        <w:ind w:firstLine="600" w:firstLineChars="250"/>
        <w:rPr>
          <w:color w:val="auto"/>
          <w:sz w:val="24"/>
          <w:highlight w:val="none"/>
        </w:rPr>
      </w:pPr>
    </w:p>
    <w:p w14:paraId="2554BA8B">
      <w:pPr>
        <w:spacing w:line="360" w:lineRule="auto"/>
        <w:ind w:left="551" w:hanging="551" w:hangingChars="196"/>
        <w:rPr>
          <w:rFonts w:ascii="宋体"/>
          <w:b/>
          <w:bCs/>
          <w:color w:val="auto"/>
          <w:sz w:val="28"/>
          <w:szCs w:val="28"/>
          <w:highlight w:val="none"/>
        </w:rPr>
      </w:pPr>
      <w:r>
        <w:rPr>
          <w:rFonts w:hint="eastAsia" w:ascii="宋体" w:hAnsi="宋体"/>
          <w:b/>
          <w:bCs/>
          <w:color w:val="auto"/>
          <w:sz w:val="28"/>
          <w:szCs w:val="28"/>
          <w:highlight w:val="none"/>
        </w:rPr>
        <w:t>注：</w:t>
      </w:r>
      <w:r>
        <w:rPr>
          <w:rFonts w:hint="eastAsia" w:ascii="宋体" w:hAnsi="宋体"/>
          <w:b/>
          <w:bCs/>
          <w:color w:val="auto"/>
          <w:sz w:val="28"/>
          <w:szCs w:val="28"/>
          <w:highlight w:val="none"/>
          <w:lang w:eastAsia="zh-CN"/>
        </w:rPr>
        <w:t>投标人</w:t>
      </w:r>
      <w:r>
        <w:rPr>
          <w:rFonts w:hint="eastAsia" w:ascii="宋体" w:hAnsi="宋体"/>
          <w:b/>
          <w:bCs/>
          <w:color w:val="auto"/>
          <w:sz w:val="28"/>
          <w:szCs w:val="28"/>
          <w:highlight w:val="none"/>
        </w:rPr>
        <w:t>应按本部分的格式内容进行排版和编制《</w:t>
      </w:r>
      <w:r>
        <w:rPr>
          <w:rFonts w:hint="eastAsia" w:ascii="宋体" w:hAnsi="宋体"/>
          <w:b/>
          <w:bCs/>
          <w:color w:val="auto"/>
          <w:sz w:val="28"/>
          <w:szCs w:val="28"/>
          <w:highlight w:val="none"/>
          <w:lang w:eastAsia="zh-CN"/>
        </w:rPr>
        <w:t>资格审查</w:t>
      </w:r>
      <w:r>
        <w:rPr>
          <w:rFonts w:hint="eastAsia" w:ascii="宋体" w:hAnsi="宋体"/>
          <w:b/>
          <w:bCs/>
          <w:color w:val="auto"/>
          <w:sz w:val="28"/>
          <w:szCs w:val="28"/>
          <w:highlight w:val="none"/>
        </w:rPr>
        <w:t>文件》，如属于格式外的，或本部分未提供具体格式的，</w:t>
      </w:r>
      <w:r>
        <w:rPr>
          <w:rFonts w:hint="eastAsia" w:ascii="宋体" w:hAnsi="宋体"/>
          <w:b/>
          <w:bCs/>
          <w:color w:val="auto"/>
          <w:sz w:val="28"/>
          <w:szCs w:val="28"/>
          <w:highlight w:val="none"/>
          <w:lang w:eastAsia="zh-CN"/>
        </w:rPr>
        <w:t>投标人</w:t>
      </w:r>
      <w:r>
        <w:rPr>
          <w:rFonts w:hint="eastAsia" w:ascii="宋体" w:hAnsi="宋体"/>
          <w:b/>
          <w:bCs/>
          <w:color w:val="auto"/>
          <w:sz w:val="28"/>
          <w:szCs w:val="28"/>
          <w:highlight w:val="none"/>
        </w:rPr>
        <w:t>可根据</w:t>
      </w:r>
      <w:r>
        <w:rPr>
          <w:rFonts w:hint="eastAsia" w:ascii="宋体" w:hAnsi="宋体"/>
          <w:b/>
          <w:bCs/>
          <w:color w:val="auto"/>
          <w:sz w:val="28"/>
          <w:szCs w:val="28"/>
          <w:highlight w:val="none"/>
          <w:lang w:eastAsia="zh-CN"/>
        </w:rPr>
        <w:t>竞投</w:t>
      </w:r>
      <w:r>
        <w:rPr>
          <w:rFonts w:hint="eastAsia" w:ascii="宋体" w:hAnsi="宋体"/>
          <w:b/>
          <w:bCs/>
          <w:color w:val="auto"/>
          <w:sz w:val="28"/>
          <w:szCs w:val="28"/>
          <w:highlight w:val="none"/>
        </w:rPr>
        <w:t>方案或内容，针对评审子项要求，自行拟定具体格式和设计排版。</w:t>
      </w:r>
    </w:p>
    <w:p w14:paraId="081BE279">
      <w:pPr>
        <w:spacing w:line="360" w:lineRule="auto"/>
        <w:ind w:left="551" w:hanging="551" w:hangingChars="196"/>
        <w:jc w:val="center"/>
        <w:outlineLvl w:val="1"/>
        <w:rPr>
          <w:rFonts w:ascii="宋体"/>
          <w:b/>
          <w:color w:val="auto"/>
          <w:sz w:val="36"/>
          <w:szCs w:val="36"/>
          <w:highlight w:val="none"/>
        </w:rPr>
      </w:pPr>
      <w:r>
        <w:rPr>
          <w:rFonts w:ascii="宋体"/>
          <w:b/>
          <w:bCs/>
          <w:color w:val="auto"/>
          <w:sz w:val="28"/>
          <w:szCs w:val="28"/>
          <w:highlight w:val="none"/>
        </w:rPr>
        <w:br w:type="page"/>
      </w:r>
      <w:bookmarkStart w:id="84" w:name="_Toc28252"/>
      <w:bookmarkStart w:id="85" w:name="_Toc30381"/>
      <w:bookmarkStart w:id="86" w:name="_Toc1019"/>
      <w:bookmarkStart w:id="87" w:name="_Toc24041"/>
      <w:bookmarkStart w:id="88" w:name="_Toc334432598"/>
      <w:bookmarkStart w:id="89" w:name="_Toc31603"/>
      <w:bookmarkStart w:id="90" w:name="_Toc10343"/>
      <w:bookmarkStart w:id="91" w:name="_Toc29336"/>
      <w:r>
        <w:rPr>
          <w:rFonts w:hint="eastAsia" w:ascii="宋体" w:hAnsi="宋体"/>
          <w:b/>
          <w:bCs/>
          <w:color w:val="auto"/>
          <w:sz w:val="36"/>
          <w:szCs w:val="36"/>
          <w:highlight w:val="none"/>
        </w:rPr>
        <w:t>资格性文件</w:t>
      </w:r>
      <w:bookmarkEnd w:id="84"/>
      <w:bookmarkEnd w:id="85"/>
      <w:bookmarkEnd w:id="86"/>
      <w:bookmarkEnd w:id="87"/>
      <w:bookmarkEnd w:id="88"/>
      <w:bookmarkEnd w:id="89"/>
      <w:bookmarkEnd w:id="90"/>
      <w:bookmarkEnd w:id="91"/>
      <w:bookmarkStart w:id="92" w:name="OLE_LINK1"/>
    </w:p>
    <w:p w14:paraId="325E3492">
      <w:pPr>
        <w:snapToGrid w:val="0"/>
        <w:spacing w:line="300" w:lineRule="auto"/>
        <w:jc w:val="center"/>
        <w:rPr>
          <w:rFonts w:ascii="宋体"/>
          <w:b/>
          <w:color w:val="auto"/>
          <w:sz w:val="32"/>
          <w:szCs w:val="32"/>
          <w:highlight w:val="none"/>
        </w:rPr>
      </w:pPr>
      <w:r>
        <w:rPr>
          <w:rFonts w:hint="eastAsia" w:ascii="宋体" w:hAnsi="宋体"/>
          <w:b/>
          <w:color w:val="auto"/>
          <w:sz w:val="32"/>
          <w:szCs w:val="32"/>
          <w:highlight w:val="none"/>
        </w:rPr>
        <w:t>资格性文件清单</w:t>
      </w:r>
    </w:p>
    <w:tbl>
      <w:tblPr>
        <w:tblStyle w:val="20"/>
        <w:tblW w:w="9795"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675"/>
        <w:gridCol w:w="2188"/>
        <w:gridCol w:w="4914"/>
        <w:gridCol w:w="871"/>
        <w:gridCol w:w="1147"/>
      </w:tblGrid>
      <w:tr w14:paraId="2A995F0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689" w:hRule="atLeast"/>
          <w:jc w:val="center"/>
        </w:trPr>
        <w:tc>
          <w:tcPr>
            <w:tcW w:w="675" w:type="dxa"/>
            <w:shd w:val="clear" w:color="auto" w:fill="F3F3F3"/>
            <w:noWrap w:val="0"/>
            <w:vAlign w:val="center"/>
          </w:tcPr>
          <w:p w14:paraId="768F2812">
            <w:pPr>
              <w:ind w:left="0" w:leftChars="-40" w:right="-99" w:rightChars="-47" w:hanging="84" w:hangingChars="35"/>
              <w:jc w:val="center"/>
              <w:rPr>
                <w:rFonts w:ascii="宋体"/>
                <w:b/>
                <w:bCs/>
                <w:color w:val="auto"/>
                <w:sz w:val="24"/>
                <w:szCs w:val="24"/>
                <w:highlight w:val="none"/>
              </w:rPr>
            </w:pPr>
            <w:r>
              <w:rPr>
                <w:rFonts w:hint="eastAsia" w:ascii="宋体" w:hAnsi="宋体"/>
                <w:b/>
                <w:bCs/>
                <w:color w:val="auto"/>
                <w:sz w:val="24"/>
                <w:szCs w:val="24"/>
                <w:highlight w:val="none"/>
              </w:rPr>
              <w:t>序号</w:t>
            </w:r>
          </w:p>
        </w:tc>
        <w:tc>
          <w:tcPr>
            <w:tcW w:w="2188" w:type="dxa"/>
            <w:tcBorders>
              <w:right w:val="single" w:color="auto" w:sz="4" w:space="0"/>
            </w:tcBorders>
            <w:shd w:val="clear" w:color="auto" w:fill="F3F3F3"/>
            <w:noWrap w:val="0"/>
            <w:vAlign w:val="center"/>
          </w:tcPr>
          <w:p w14:paraId="7E7FBFAE">
            <w:pPr>
              <w:pStyle w:val="27"/>
              <w:keepNext w:val="0"/>
              <w:adjustRightInd/>
              <w:spacing w:before="0" w:after="0" w:line="240" w:lineRule="auto"/>
              <w:ind w:firstLine="422"/>
              <w:textAlignment w:val="auto"/>
              <w:rPr>
                <w:rFonts w:ascii="宋体"/>
                <w:b/>
                <w:bCs/>
                <w:color w:val="auto"/>
                <w:spacing w:val="0"/>
                <w:kern w:val="2"/>
                <w:sz w:val="24"/>
                <w:szCs w:val="24"/>
                <w:highlight w:val="none"/>
              </w:rPr>
            </w:pPr>
            <w:r>
              <w:rPr>
                <w:rFonts w:hint="eastAsia" w:ascii="宋体" w:hAnsi="宋体"/>
                <w:b/>
                <w:bCs/>
                <w:color w:val="auto"/>
                <w:spacing w:val="0"/>
                <w:kern w:val="2"/>
                <w:sz w:val="24"/>
                <w:szCs w:val="24"/>
                <w:highlight w:val="none"/>
              </w:rPr>
              <w:t>文件名称</w:t>
            </w:r>
          </w:p>
        </w:tc>
        <w:tc>
          <w:tcPr>
            <w:tcW w:w="4914" w:type="dxa"/>
            <w:tcBorders>
              <w:left w:val="single" w:color="auto" w:sz="4" w:space="0"/>
            </w:tcBorders>
            <w:shd w:val="clear" w:color="auto" w:fill="F3F3F3"/>
            <w:noWrap w:val="0"/>
            <w:vAlign w:val="center"/>
          </w:tcPr>
          <w:p w14:paraId="08A03785">
            <w:pPr>
              <w:pStyle w:val="27"/>
              <w:keepNext w:val="0"/>
              <w:adjustRightInd/>
              <w:spacing w:before="0" w:after="0" w:line="240" w:lineRule="auto"/>
              <w:ind w:firstLine="422"/>
              <w:textAlignment w:val="auto"/>
              <w:rPr>
                <w:rFonts w:ascii="宋体"/>
                <w:b/>
                <w:bCs/>
                <w:color w:val="auto"/>
                <w:spacing w:val="0"/>
                <w:kern w:val="2"/>
                <w:sz w:val="24"/>
                <w:szCs w:val="24"/>
                <w:highlight w:val="none"/>
              </w:rPr>
            </w:pPr>
            <w:r>
              <w:rPr>
                <w:rFonts w:hint="eastAsia" w:ascii="宋体" w:hAnsi="宋体"/>
                <w:b/>
                <w:bCs/>
                <w:color w:val="auto"/>
                <w:spacing w:val="0"/>
                <w:kern w:val="2"/>
                <w:sz w:val="24"/>
                <w:szCs w:val="24"/>
                <w:highlight w:val="none"/>
              </w:rPr>
              <w:t>文件内容要求</w:t>
            </w:r>
          </w:p>
        </w:tc>
        <w:tc>
          <w:tcPr>
            <w:tcW w:w="871" w:type="dxa"/>
            <w:shd w:val="clear" w:color="auto" w:fill="F3F3F3"/>
            <w:noWrap w:val="0"/>
            <w:vAlign w:val="center"/>
          </w:tcPr>
          <w:p w14:paraId="4B6E5011">
            <w:pPr>
              <w:jc w:val="center"/>
              <w:rPr>
                <w:rFonts w:ascii="宋体"/>
                <w:b/>
                <w:bCs/>
                <w:color w:val="auto"/>
                <w:sz w:val="24"/>
                <w:szCs w:val="24"/>
                <w:highlight w:val="none"/>
              </w:rPr>
            </w:pPr>
            <w:r>
              <w:rPr>
                <w:rFonts w:hint="eastAsia" w:ascii="宋体" w:hAnsi="宋体"/>
                <w:b/>
                <w:bCs/>
                <w:color w:val="auto"/>
                <w:sz w:val="24"/>
                <w:szCs w:val="24"/>
                <w:highlight w:val="none"/>
              </w:rPr>
              <w:t>数量</w:t>
            </w:r>
          </w:p>
        </w:tc>
        <w:tc>
          <w:tcPr>
            <w:tcW w:w="1147" w:type="dxa"/>
            <w:shd w:val="clear" w:color="auto" w:fill="F3F3F3"/>
            <w:noWrap w:val="0"/>
            <w:vAlign w:val="center"/>
          </w:tcPr>
          <w:p w14:paraId="233B826D">
            <w:pPr>
              <w:jc w:val="center"/>
              <w:rPr>
                <w:rFonts w:ascii="宋体"/>
                <w:b/>
                <w:bCs/>
                <w:color w:val="auto"/>
                <w:sz w:val="24"/>
                <w:szCs w:val="24"/>
                <w:highlight w:val="none"/>
              </w:rPr>
            </w:pPr>
            <w:r>
              <w:rPr>
                <w:rFonts w:hint="eastAsia" w:ascii="宋体" w:hAnsi="宋体"/>
                <w:b/>
                <w:bCs/>
                <w:color w:val="auto"/>
                <w:sz w:val="24"/>
                <w:szCs w:val="24"/>
                <w:highlight w:val="none"/>
              </w:rPr>
              <w:t>文件属性</w:t>
            </w:r>
          </w:p>
        </w:tc>
      </w:tr>
      <w:tr w14:paraId="67FF77E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851" w:hRule="atLeast"/>
          <w:jc w:val="center"/>
        </w:trPr>
        <w:tc>
          <w:tcPr>
            <w:tcW w:w="675" w:type="dxa"/>
            <w:noWrap w:val="0"/>
            <w:vAlign w:val="center"/>
          </w:tcPr>
          <w:p w14:paraId="2A931122">
            <w:pPr>
              <w:rPr>
                <w:rFonts w:ascii="宋体"/>
                <w:color w:val="auto"/>
                <w:szCs w:val="21"/>
                <w:highlight w:val="none"/>
              </w:rPr>
            </w:pPr>
            <w:r>
              <w:rPr>
                <w:rFonts w:ascii="宋体" w:hAnsi="宋体"/>
                <w:color w:val="auto"/>
                <w:szCs w:val="21"/>
                <w:highlight w:val="none"/>
              </w:rPr>
              <w:t>1.1</w:t>
            </w:r>
          </w:p>
        </w:tc>
        <w:tc>
          <w:tcPr>
            <w:tcW w:w="2188" w:type="dxa"/>
            <w:tcBorders>
              <w:right w:val="single" w:color="auto" w:sz="4" w:space="0"/>
            </w:tcBorders>
            <w:noWrap w:val="0"/>
            <w:vAlign w:val="center"/>
          </w:tcPr>
          <w:p w14:paraId="0324C05B">
            <w:pPr>
              <w:jc w:val="center"/>
              <w:rPr>
                <w:rFonts w:ascii="宋体"/>
                <w:color w:val="auto"/>
                <w:sz w:val="24"/>
                <w:szCs w:val="24"/>
                <w:highlight w:val="none"/>
              </w:rPr>
            </w:pPr>
            <w:r>
              <w:rPr>
                <w:rFonts w:hint="eastAsia" w:ascii="宋体" w:hAnsi="宋体"/>
                <w:color w:val="auto"/>
                <w:sz w:val="24"/>
                <w:szCs w:val="24"/>
                <w:highlight w:val="none"/>
              </w:rPr>
              <w:t>法定代表人</w:t>
            </w:r>
            <w:r>
              <w:rPr>
                <w:rFonts w:ascii="宋体" w:hAnsi="宋体"/>
                <w:color w:val="auto"/>
                <w:sz w:val="24"/>
                <w:szCs w:val="24"/>
                <w:highlight w:val="none"/>
              </w:rPr>
              <w:t>/</w:t>
            </w:r>
            <w:r>
              <w:rPr>
                <w:rFonts w:hint="eastAsia" w:ascii="宋体" w:hAnsi="宋体"/>
                <w:color w:val="auto"/>
                <w:sz w:val="24"/>
                <w:szCs w:val="24"/>
                <w:highlight w:val="none"/>
              </w:rPr>
              <w:t>负责人资格证明书</w:t>
            </w:r>
          </w:p>
        </w:tc>
        <w:tc>
          <w:tcPr>
            <w:tcW w:w="4914" w:type="dxa"/>
            <w:tcBorders>
              <w:left w:val="single" w:color="auto" w:sz="4" w:space="0"/>
            </w:tcBorders>
            <w:noWrap w:val="0"/>
            <w:vAlign w:val="center"/>
          </w:tcPr>
          <w:p w14:paraId="44E08EA4">
            <w:pPr>
              <w:jc w:val="center"/>
              <w:rPr>
                <w:rFonts w:ascii="宋体"/>
                <w:color w:val="auto"/>
                <w:sz w:val="24"/>
                <w:szCs w:val="24"/>
                <w:highlight w:val="none"/>
              </w:rPr>
            </w:pPr>
            <w:r>
              <w:rPr>
                <w:rFonts w:hint="eastAsia" w:ascii="宋体" w:hAnsi="宋体"/>
                <w:color w:val="auto"/>
                <w:sz w:val="24"/>
                <w:szCs w:val="24"/>
                <w:highlight w:val="none"/>
              </w:rPr>
              <w:t>按对应格式文件签署、盖章</w:t>
            </w:r>
          </w:p>
        </w:tc>
        <w:tc>
          <w:tcPr>
            <w:tcW w:w="871" w:type="dxa"/>
            <w:noWrap w:val="0"/>
            <w:vAlign w:val="center"/>
          </w:tcPr>
          <w:p w14:paraId="3A4A9F07">
            <w:pPr>
              <w:jc w:val="center"/>
              <w:rPr>
                <w:rFonts w:ascii="宋体"/>
                <w:color w:val="auto"/>
                <w:sz w:val="24"/>
                <w:szCs w:val="24"/>
                <w:highlight w:val="none"/>
              </w:rPr>
            </w:pPr>
            <w:r>
              <w:rPr>
                <w:rFonts w:ascii="宋体" w:hAnsi="宋体"/>
                <w:color w:val="auto"/>
                <w:sz w:val="24"/>
                <w:szCs w:val="24"/>
                <w:highlight w:val="none"/>
              </w:rPr>
              <w:t>1</w:t>
            </w:r>
            <w:r>
              <w:rPr>
                <w:rFonts w:hint="eastAsia" w:ascii="宋体" w:hAnsi="宋体"/>
                <w:color w:val="auto"/>
                <w:sz w:val="24"/>
                <w:szCs w:val="24"/>
                <w:highlight w:val="none"/>
              </w:rPr>
              <w:t>份</w:t>
            </w:r>
          </w:p>
        </w:tc>
        <w:tc>
          <w:tcPr>
            <w:tcW w:w="1147" w:type="dxa"/>
            <w:noWrap w:val="0"/>
            <w:vAlign w:val="center"/>
          </w:tcPr>
          <w:p w14:paraId="30E03D29">
            <w:pPr>
              <w:jc w:val="center"/>
              <w:rPr>
                <w:rFonts w:ascii="宋体"/>
                <w:color w:val="auto"/>
                <w:sz w:val="24"/>
                <w:szCs w:val="24"/>
                <w:highlight w:val="none"/>
              </w:rPr>
            </w:pPr>
            <w:r>
              <w:rPr>
                <w:rFonts w:hint="eastAsia" w:ascii="宋体" w:hAnsi="宋体"/>
                <w:color w:val="auto"/>
                <w:sz w:val="24"/>
                <w:szCs w:val="24"/>
                <w:highlight w:val="none"/>
              </w:rPr>
              <w:t>原件</w:t>
            </w:r>
          </w:p>
        </w:tc>
      </w:tr>
      <w:tr w14:paraId="7A4B2F1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11" w:hRule="atLeast"/>
          <w:jc w:val="center"/>
        </w:trPr>
        <w:tc>
          <w:tcPr>
            <w:tcW w:w="675" w:type="dxa"/>
            <w:noWrap w:val="0"/>
            <w:vAlign w:val="center"/>
          </w:tcPr>
          <w:p w14:paraId="41F9DE1F">
            <w:pPr>
              <w:rPr>
                <w:rFonts w:ascii="宋体"/>
                <w:color w:val="auto"/>
                <w:szCs w:val="21"/>
                <w:highlight w:val="none"/>
              </w:rPr>
            </w:pPr>
            <w:r>
              <w:rPr>
                <w:rFonts w:ascii="宋体" w:hAnsi="宋体"/>
                <w:color w:val="auto"/>
                <w:szCs w:val="21"/>
                <w:highlight w:val="none"/>
              </w:rPr>
              <w:t>1.2</w:t>
            </w:r>
          </w:p>
        </w:tc>
        <w:tc>
          <w:tcPr>
            <w:tcW w:w="2188" w:type="dxa"/>
            <w:tcBorders>
              <w:right w:val="single" w:color="auto" w:sz="4" w:space="0"/>
            </w:tcBorders>
            <w:noWrap w:val="0"/>
            <w:vAlign w:val="center"/>
          </w:tcPr>
          <w:p w14:paraId="440CCB81">
            <w:pPr>
              <w:jc w:val="center"/>
              <w:rPr>
                <w:rFonts w:ascii="宋体"/>
                <w:color w:val="auto"/>
                <w:sz w:val="24"/>
                <w:szCs w:val="24"/>
                <w:highlight w:val="none"/>
              </w:rPr>
            </w:pPr>
            <w:r>
              <w:rPr>
                <w:rFonts w:hint="eastAsia" w:ascii="宋体" w:hAnsi="宋体"/>
                <w:color w:val="auto"/>
                <w:sz w:val="24"/>
                <w:szCs w:val="24"/>
                <w:highlight w:val="none"/>
              </w:rPr>
              <w:t>法定代表人授权书</w:t>
            </w:r>
          </w:p>
        </w:tc>
        <w:tc>
          <w:tcPr>
            <w:tcW w:w="4914" w:type="dxa"/>
            <w:tcBorders>
              <w:left w:val="single" w:color="auto" w:sz="4" w:space="0"/>
            </w:tcBorders>
            <w:noWrap w:val="0"/>
            <w:vAlign w:val="center"/>
          </w:tcPr>
          <w:p w14:paraId="246FFDDD">
            <w:pPr>
              <w:jc w:val="center"/>
              <w:rPr>
                <w:rFonts w:ascii="宋体"/>
                <w:color w:val="auto"/>
                <w:sz w:val="24"/>
                <w:szCs w:val="24"/>
                <w:highlight w:val="none"/>
              </w:rPr>
            </w:pPr>
            <w:r>
              <w:rPr>
                <w:rFonts w:hint="eastAsia" w:ascii="宋体" w:hAnsi="宋体"/>
                <w:color w:val="auto"/>
                <w:sz w:val="24"/>
                <w:szCs w:val="24"/>
                <w:highlight w:val="none"/>
              </w:rPr>
              <w:t>按对应格式文件签署、盖章</w:t>
            </w:r>
          </w:p>
        </w:tc>
        <w:tc>
          <w:tcPr>
            <w:tcW w:w="871" w:type="dxa"/>
            <w:noWrap w:val="0"/>
            <w:vAlign w:val="center"/>
          </w:tcPr>
          <w:p w14:paraId="74522A3A">
            <w:pPr>
              <w:jc w:val="center"/>
              <w:rPr>
                <w:rFonts w:ascii="宋体"/>
                <w:color w:val="auto"/>
                <w:sz w:val="24"/>
                <w:szCs w:val="24"/>
                <w:highlight w:val="none"/>
              </w:rPr>
            </w:pPr>
            <w:r>
              <w:rPr>
                <w:rFonts w:ascii="宋体" w:hAnsi="宋体"/>
                <w:color w:val="auto"/>
                <w:sz w:val="24"/>
                <w:szCs w:val="24"/>
                <w:highlight w:val="none"/>
              </w:rPr>
              <w:t>1</w:t>
            </w:r>
            <w:r>
              <w:rPr>
                <w:rFonts w:hint="eastAsia" w:ascii="宋体" w:hAnsi="宋体"/>
                <w:color w:val="auto"/>
                <w:sz w:val="24"/>
                <w:szCs w:val="24"/>
                <w:highlight w:val="none"/>
              </w:rPr>
              <w:t>份</w:t>
            </w:r>
          </w:p>
        </w:tc>
        <w:tc>
          <w:tcPr>
            <w:tcW w:w="1147" w:type="dxa"/>
            <w:noWrap w:val="0"/>
            <w:vAlign w:val="center"/>
          </w:tcPr>
          <w:p w14:paraId="30CC7B3B">
            <w:pPr>
              <w:jc w:val="center"/>
              <w:rPr>
                <w:rFonts w:ascii="宋体"/>
                <w:color w:val="auto"/>
                <w:sz w:val="24"/>
                <w:szCs w:val="24"/>
                <w:highlight w:val="none"/>
              </w:rPr>
            </w:pPr>
            <w:r>
              <w:rPr>
                <w:rFonts w:hint="eastAsia" w:ascii="宋体" w:hAnsi="宋体"/>
                <w:color w:val="auto"/>
                <w:sz w:val="24"/>
                <w:szCs w:val="24"/>
                <w:highlight w:val="none"/>
              </w:rPr>
              <w:t>原件</w:t>
            </w:r>
          </w:p>
        </w:tc>
      </w:tr>
      <w:tr w14:paraId="594AC36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05" w:hRule="atLeast"/>
          <w:jc w:val="center"/>
        </w:trPr>
        <w:tc>
          <w:tcPr>
            <w:tcW w:w="675" w:type="dxa"/>
            <w:noWrap w:val="0"/>
            <w:vAlign w:val="center"/>
          </w:tcPr>
          <w:p w14:paraId="574B90BB">
            <w:pPr>
              <w:rPr>
                <w:rFonts w:ascii="宋体"/>
                <w:color w:val="auto"/>
                <w:szCs w:val="21"/>
                <w:highlight w:val="none"/>
              </w:rPr>
            </w:pPr>
            <w:r>
              <w:rPr>
                <w:rFonts w:ascii="宋体" w:hAnsi="宋体"/>
                <w:color w:val="auto"/>
                <w:szCs w:val="21"/>
                <w:highlight w:val="none"/>
              </w:rPr>
              <w:t>1.3</w:t>
            </w:r>
          </w:p>
        </w:tc>
        <w:tc>
          <w:tcPr>
            <w:tcW w:w="2188" w:type="dxa"/>
            <w:tcBorders>
              <w:right w:val="single" w:color="auto" w:sz="4" w:space="0"/>
            </w:tcBorders>
            <w:noWrap w:val="0"/>
            <w:vAlign w:val="center"/>
          </w:tcPr>
          <w:p w14:paraId="57FDC0B7">
            <w:pPr>
              <w:jc w:val="center"/>
              <w:rPr>
                <w:rFonts w:ascii="宋体"/>
                <w:color w:val="auto"/>
                <w:sz w:val="24"/>
                <w:szCs w:val="24"/>
                <w:highlight w:val="none"/>
              </w:rPr>
            </w:pPr>
            <w:r>
              <w:rPr>
                <w:rFonts w:hint="eastAsia" w:ascii="宋体" w:hAnsi="宋体"/>
                <w:color w:val="auto"/>
                <w:sz w:val="24"/>
                <w:szCs w:val="24"/>
                <w:highlight w:val="none"/>
                <w:lang w:eastAsia="zh-CN"/>
              </w:rPr>
              <w:t>竞投</w:t>
            </w:r>
            <w:r>
              <w:rPr>
                <w:rFonts w:hint="eastAsia" w:ascii="宋体" w:hAnsi="宋体"/>
                <w:color w:val="auto"/>
                <w:sz w:val="24"/>
                <w:szCs w:val="24"/>
                <w:highlight w:val="none"/>
              </w:rPr>
              <w:t>承诺函</w:t>
            </w:r>
          </w:p>
        </w:tc>
        <w:tc>
          <w:tcPr>
            <w:tcW w:w="4914" w:type="dxa"/>
            <w:tcBorders>
              <w:left w:val="single" w:color="auto" w:sz="4" w:space="0"/>
            </w:tcBorders>
            <w:noWrap w:val="0"/>
            <w:vAlign w:val="center"/>
          </w:tcPr>
          <w:p w14:paraId="7549571C">
            <w:pPr>
              <w:jc w:val="center"/>
              <w:rPr>
                <w:rFonts w:ascii="宋体"/>
                <w:color w:val="auto"/>
                <w:sz w:val="24"/>
                <w:szCs w:val="24"/>
                <w:highlight w:val="none"/>
              </w:rPr>
            </w:pPr>
            <w:r>
              <w:rPr>
                <w:rFonts w:hint="eastAsia" w:ascii="宋体" w:hAnsi="宋体"/>
                <w:color w:val="auto"/>
                <w:sz w:val="24"/>
                <w:szCs w:val="24"/>
                <w:highlight w:val="none"/>
              </w:rPr>
              <w:t>按对应格式文件签署、盖章</w:t>
            </w:r>
          </w:p>
        </w:tc>
        <w:tc>
          <w:tcPr>
            <w:tcW w:w="871" w:type="dxa"/>
            <w:noWrap w:val="0"/>
            <w:vAlign w:val="center"/>
          </w:tcPr>
          <w:p w14:paraId="52523609">
            <w:pPr>
              <w:jc w:val="center"/>
              <w:rPr>
                <w:rFonts w:ascii="宋体"/>
                <w:color w:val="auto"/>
                <w:sz w:val="24"/>
                <w:szCs w:val="24"/>
                <w:highlight w:val="none"/>
              </w:rPr>
            </w:pPr>
            <w:r>
              <w:rPr>
                <w:rFonts w:ascii="宋体" w:hAnsi="宋体"/>
                <w:color w:val="auto"/>
                <w:sz w:val="24"/>
                <w:szCs w:val="24"/>
                <w:highlight w:val="none"/>
              </w:rPr>
              <w:t>1</w:t>
            </w:r>
            <w:r>
              <w:rPr>
                <w:rFonts w:hint="eastAsia" w:ascii="宋体" w:hAnsi="宋体"/>
                <w:color w:val="auto"/>
                <w:sz w:val="24"/>
                <w:szCs w:val="24"/>
                <w:highlight w:val="none"/>
              </w:rPr>
              <w:t>份</w:t>
            </w:r>
          </w:p>
        </w:tc>
        <w:tc>
          <w:tcPr>
            <w:tcW w:w="1147" w:type="dxa"/>
            <w:noWrap w:val="0"/>
            <w:vAlign w:val="center"/>
          </w:tcPr>
          <w:p w14:paraId="5E86811C">
            <w:pPr>
              <w:jc w:val="center"/>
              <w:rPr>
                <w:rFonts w:ascii="宋体"/>
                <w:color w:val="auto"/>
                <w:sz w:val="24"/>
                <w:szCs w:val="24"/>
                <w:highlight w:val="none"/>
              </w:rPr>
            </w:pPr>
            <w:r>
              <w:rPr>
                <w:rFonts w:hint="eastAsia" w:ascii="宋体" w:hAnsi="宋体"/>
                <w:color w:val="auto"/>
                <w:sz w:val="24"/>
                <w:szCs w:val="24"/>
                <w:highlight w:val="none"/>
              </w:rPr>
              <w:t>原件</w:t>
            </w:r>
          </w:p>
        </w:tc>
      </w:tr>
      <w:tr w14:paraId="0C89C5F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825" w:hRule="atLeast"/>
          <w:jc w:val="center"/>
        </w:trPr>
        <w:tc>
          <w:tcPr>
            <w:tcW w:w="675" w:type="dxa"/>
            <w:noWrap w:val="0"/>
            <w:vAlign w:val="center"/>
          </w:tcPr>
          <w:p w14:paraId="0095D34D">
            <w:pPr>
              <w:tabs>
                <w:tab w:val="left" w:pos="180"/>
              </w:tabs>
              <w:rPr>
                <w:rFonts w:ascii="宋体"/>
                <w:color w:val="auto"/>
                <w:szCs w:val="21"/>
                <w:highlight w:val="none"/>
              </w:rPr>
            </w:pPr>
            <w:r>
              <w:rPr>
                <w:rFonts w:ascii="宋体" w:hAnsi="宋体"/>
                <w:color w:val="auto"/>
                <w:szCs w:val="21"/>
                <w:highlight w:val="none"/>
              </w:rPr>
              <w:t>1.4</w:t>
            </w:r>
          </w:p>
        </w:tc>
        <w:tc>
          <w:tcPr>
            <w:tcW w:w="2188" w:type="dxa"/>
            <w:tcBorders>
              <w:right w:val="single" w:color="auto" w:sz="4" w:space="0"/>
            </w:tcBorders>
            <w:noWrap w:val="0"/>
            <w:vAlign w:val="center"/>
          </w:tcPr>
          <w:p w14:paraId="464497E1">
            <w:pPr>
              <w:jc w:val="center"/>
              <w:rPr>
                <w:rFonts w:ascii="宋体"/>
                <w:color w:val="auto"/>
                <w:sz w:val="24"/>
                <w:szCs w:val="24"/>
                <w:highlight w:val="none"/>
              </w:rPr>
            </w:pPr>
            <w:r>
              <w:rPr>
                <w:rFonts w:hint="eastAsia" w:ascii="宋体" w:hAnsi="宋体"/>
                <w:color w:val="auto"/>
                <w:sz w:val="24"/>
                <w:szCs w:val="24"/>
                <w:highlight w:val="none"/>
                <w:lang w:eastAsia="zh-CN"/>
              </w:rPr>
              <w:t>投标人</w:t>
            </w:r>
            <w:r>
              <w:rPr>
                <w:rFonts w:hint="eastAsia" w:ascii="宋体" w:hAnsi="宋体"/>
                <w:color w:val="auto"/>
                <w:sz w:val="24"/>
                <w:szCs w:val="24"/>
                <w:highlight w:val="none"/>
              </w:rPr>
              <w:t>资格声明函</w:t>
            </w:r>
          </w:p>
        </w:tc>
        <w:tc>
          <w:tcPr>
            <w:tcW w:w="4914" w:type="dxa"/>
            <w:tcBorders>
              <w:left w:val="single" w:color="auto" w:sz="4" w:space="0"/>
            </w:tcBorders>
            <w:noWrap w:val="0"/>
            <w:vAlign w:val="center"/>
          </w:tcPr>
          <w:p w14:paraId="43E00C46">
            <w:pPr>
              <w:keepNext w:val="0"/>
              <w:keepLines w:val="0"/>
              <w:pageBreakBefore w:val="0"/>
              <w:widowControl w:val="0"/>
              <w:numPr>
                <w:ilvl w:val="0"/>
                <w:numId w:val="0"/>
              </w:numPr>
              <w:kinsoku/>
              <w:wordWrap w:val="0"/>
              <w:overflowPunct/>
              <w:topLinePunct w:val="0"/>
              <w:autoSpaceDE/>
              <w:autoSpaceDN/>
              <w:bidi w:val="0"/>
              <w:adjustRightInd/>
              <w:snapToGrid/>
              <w:ind w:leftChars="0"/>
              <w:jc w:val="left"/>
              <w:textAlignment w:val="auto"/>
              <w:rPr>
                <w:rFonts w:hint="eastAsia" w:ascii="宋体"/>
                <w:color w:val="auto"/>
                <w:sz w:val="24"/>
                <w:szCs w:val="24"/>
                <w:highlight w:val="none"/>
              </w:rPr>
            </w:pPr>
            <w:r>
              <w:rPr>
                <w:rFonts w:hint="eastAsia" w:ascii="宋体"/>
                <w:color w:val="auto"/>
                <w:sz w:val="24"/>
                <w:szCs w:val="24"/>
                <w:highlight w:val="none"/>
              </w:rPr>
              <w:t>1.投标人须具有独立法人资格，营业执照处于有效内。</w:t>
            </w:r>
          </w:p>
          <w:p w14:paraId="0E5C5819">
            <w:pPr>
              <w:keepNext w:val="0"/>
              <w:keepLines w:val="0"/>
              <w:pageBreakBefore w:val="0"/>
              <w:widowControl w:val="0"/>
              <w:numPr>
                <w:ilvl w:val="0"/>
                <w:numId w:val="0"/>
              </w:numPr>
              <w:kinsoku/>
              <w:wordWrap w:val="0"/>
              <w:overflowPunct/>
              <w:topLinePunct w:val="0"/>
              <w:autoSpaceDE/>
              <w:autoSpaceDN/>
              <w:bidi w:val="0"/>
              <w:adjustRightInd/>
              <w:snapToGrid/>
              <w:ind w:leftChars="0"/>
              <w:jc w:val="left"/>
              <w:textAlignment w:val="auto"/>
              <w:rPr>
                <w:rFonts w:hint="eastAsia" w:ascii="宋体"/>
                <w:color w:val="auto"/>
                <w:sz w:val="24"/>
                <w:szCs w:val="24"/>
                <w:highlight w:val="none"/>
              </w:rPr>
            </w:pPr>
            <w:r>
              <w:rPr>
                <w:rFonts w:hint="eastAsia" w:ascii="宋体"/>
                <w:color w:val="auto"/>
                <w:sz w:val="24"/>
                <w:szCs w:val="24"/>
                <w:highlight w:val="none"/>
              </w:rPr>
              <w:t>2.本项目不接受联合体竞投。</w:t>
            </w:r>
          </w:p>
          <w:p w14:paraId="729DC583">
            <w:pPr>
              <w:keepNext w:val="0"/>
              <w:keepLines w:val="0"/>
              <w:pageBreakBefore w:val="0"/>
              <w:widowControl w:val="0"/>
              <w:numPr>
                <w:ilvl w:val="0"/>
                <w:numId w:val="0"/>
              </w:numPr>
              <w:kinsoku/>
              <w:wordWrap w:val="0"/>
              <w:overflowPunct/>
              <w:topLinePunct w:val="0"/>
              <w:autoSpaceDE/>
              <w:autoSpaceDN/>
              <w:bidi w:val="0"/>
              <w:adjustRightInd/>
              <w:snapToGrid/>
              <w:ind w:leftChars="0"/>
              <w:jc w:val="left"/>
              <w:textAlignment w:val="auto"/>
              <w:rPr>
                <w:rFonts w:hint="eastAsia" w:ascii="宋体"/>
                <w:color w:val="auto"/>
                <w:sz w:val="24"/>
                <w:szCs w:val="24"/>
                <w:highlight w:val="none"/>
              </w:rPr>
            </w:pPr>
            <w:r>
              <w:rPr>
                <w:rFonts w:hint="eastAsia" w:ascii="宋体"/>
                <w:color w:val="auto"/>
                <w:sz w:val="24"/>
                <w:szCs w:val="24"/>
                <w:highlight w:val="none"/>
              </w:rPr>
              <w:t>3.法律、行政法规规定的其他条件：</w:t>
            </w:r>
          </w:p>
          <w:p w14:paraId="10EA0F60">
            <w:pPr>
              <w:keepNext w:val="0"/>
              <w:keepLines w:val="0"/>
              <w:pageBreakBefore w:val="0"/>
              <w:widowControl w:val="0"/>
              <w:numPr>
                <w:ilvl w:val="0"/>
                <w:numId w:val="0"/>
              </w:numPr>
              <w:kinsoku/>
              <w:wordWrap w:val="0"/>
              <w:overflowPunct/>
              <w:topLinePunct w:val="0"/>
              <w:autoSpaceDE/>
              <w:autoSpaceDN/>
              <w:bidi w:val="0"/>
              <w:adjustRightInd/>
              <w:snapToGrid/>
              <w:ind w:leftChars="0"/>
              <w:jc w:val="left"/>
              <w:textAlignment w:val="auto"/>
              <w:rPr>
                <w:rFonts w:hint="eastAsia" w:ascii="宋体"/>
                <w:color w:val="auto"/>
                <w:sz w:val="24"/>
                <w:szCs w:val="24"/>
                <w:highlight w:val="none"/>
              </w:rPr>
            </w:pPr>
            <w:r>
              <w:rPr>
                <w:rFonts w:hint="eastAsia" w:ascii="宋体"/>
                <w:color w:val="auto"/>
                <w:sz w:val="24"/>
                <w:szCs w:val="24"/>
                <w:highlight w:val="none"/>
              </w:rPr>
              <w:t>(1)单位负责人为同一人或者存在控股、管理关系的不同单位，不得参与同一标段投标或者未划分标段的同一招标项目投标（提供《</w:t>
            </w:r>
            <w:r>
              <w:rPr>
                <w:rFonts w:hint="eastAsia" w:ascii="宋体"/>
                <w:color w:val="auto"/>
                <w:sz w:val="24"/>
                <w:szCs w:val="24"/>
                <w:highlight w:val="none"/>
                <w:lang w:eastAsia="zh-CN"/>
              </w:rPr>
              <w:t>竞投承诺函</w:t>
            </w:r>
            <w:r>
              <w:rPr>
                <w:rFonts w:hint="eastAsia" w:ascii="宋体"/>
                <w:color w:val="auto"/>
                <w:sz w:val="24"/>
                <w:szCs w:val="24"/>
                <w:highlight w:val="none"/>
              </w:rPr>
              <w:t>》）；</w:t>
            </w:r>
          </w:p>
          <w:p w14:paraId="5C7CC7CB">
            <w:pPr>
              <w:keepNext w:val="0"/>
              <w:keepLines w:val="0"/>
              <w:pageBreakBefore w:val="0"/>
              <w:widowControl w:val="0"/>
              <w:numPr>
                <w:ilvl w:val="0"/>
                <w:numId w:val="0"/>
              </w:numPr>
              <w:kinsoku/>
              <w:wordWrap w:val="0"/>
              <w:overflowPunct/>
              <w:topLinePunct w:val="0"/>
              <w:autoSpaceDE/>
              <w:autoSpaceDN/>
              <w:bidi w:val="0"/>
              <w:adjustRightInd/>
              <w:snapToGrid/>
              <w:ind w:leftChars="0"/>
              <w:jc w:val="left"/>
              <w:textAlignment w:val="auto"/>
              <w:rPr>
                <w:rFonts w:hint="eastAsia" w:ascii="宋体"/>
                <w:color w:val="auto"/>
                <w:sz w:val="24"/>
                <w:szCs w:val="24"/>
                <w:highlight w:val="none"/>
              </w:rPr>
            </w:pPr>
            <w:r>
              <w:rPr>
                <w:rFonts w:hint="eastAsia" w:ascii="宋体"/>
                <w:color w:val="auto"/>
                <w:sz w:val="24"/>
                <w:szCs w:val="24"/>
                <w:highlight w:val="none"/>
              </w:rPr>
              <w:t>(2)为采购项目提供整体设计、规范编制或者项目管理、监理、检测等服务的供应商，不得再参加该采购项目的其他采购活动（提供《</w:t>
            </w:r>
            <w:r>
              <w:rPr>
                <w:rFonts w:hint="eastAsia" w:ascii="宋体"/>
                <w:color w:val="auto"/>
                <w:sz w:val="24"/>
                <w:szCs w:val="24"/>
                <w:highlight w:val="none"/>
                <w:lang w:eastAsia="zh-CN"/>
              </w:rPr>
              <w:t>竞投承诺函</w:t>
            </w:r>
            <w:r>
              <w:rPr>
                <w:rFonts w:hint="eastAsia" w:ascii="宋体"/>
                <w:color w:val="auto"/>
                <w:sz w:val="24"/>
                <w:szCs w:val="24"/>
                <w:highlight w:val="none"/>
              </w:rPr>
              <w:t>》）；</w:t>
            </w:r>
          </w:p>
          <w:p w14:paraId="3C7201D6">
            <w:pPr>
              <w:keepNext w:val="0"/>
              <w:keepLines w:val="0"/>
              <w:pageBreakBefore w:val="0"/>
              <w:widowControl w:val="0"/>
              <w:numPr>
                <w:ilvl w:val="0"/>
                <w:numId w:val="0"/>
              </w:numPr>
              <w:kinsoku/>
              <w:wordWrap w:val="0"/>
              <w:overflowPunct/>
              <w:topLinePunct w:val="0"/>
              <w:autoSpaceDE/>
              <w:autoSpaceDN/>
              <w:bidi w:val="0"/>
              <w:adjustRightInd/>
              <w:snapToGrid/>
              <w:ind w:leftChars="0"/>
              <w:jc w:val="left"/>
              <w:textAlignment w:val="auto"/>
              <w:rPr>
                <w:rFonts w:ascii="宋体"/>
                <w:color w:val="auto"/>
                <w:sz w:val="24"/>
                <w:szCs w:val="24"/>
                <w:highlight w:val="none"/>
              </w:rPr>
            </w:pPr>
            <w:r>
              <w:rPr>
                <w:rFonts w:hint="eastAsia" w:ascii="宋体"/>
                <w:color w:val="auto"/>
                <w:sz w:val="24"/>
                <w:szCs w:val="24"/>
                <w:highlight w:val="none"/>
              </w:rPr>
              <w:t>(3)信用记录：供应商未被列入“信用中国”网站(www.creditchina.gov.cn)“</w:t>
            </w:r>
            <w:r>
              <w:rPr>
                <w:rFonts w:hint="eastAsia" w:ascii="宋体"/>
                <w:color w:val="auto"/>
                <w:sz w:val="24"/>
                <w:szCs w:val="24"/>
                <w:highlight w:val="none"/>
                <w:lang w:eastAsia="zh-CN"/>
              </w:rPr>
              <w:t>记录失信被执行人或重大税收违法失信主体或政府采购严重违法失信行为</w:t>
            </w:r>
            <w:r>
              <w:rPr>
                <w:rFonts w:hint="eastAsia" w:ascii="宋体"/>
                <w:color w:val="auto"/>
                <w:sz w:val="24"/>
                <w:szCs w:val="24"/>
                <w:highlight w:val="none"/>
              </w:rPr>
              <w:t>”记录名单；不处于中国政府采购网(www.ccgp.gov.cn)“政府采购严重违法失信行为信息记录”中的禁止参加政府采购活动期间【以招标代理机构于投标截止日当天在“信用中国”网站（www.creditchina.gov.cn）及中国政府采购网(www.ccgp.gov.cn)查询结果为准，如相关失信记录已失效，供应商需提供相关证明资料】。</w:t>
            </w:r>
          </w:p>
        </w:tc>
        <w:tc>
          <w:tcPr>
            <w:tcW w:w="871" w:type="dxa"/>
            <w:noWrap w:val="0"/>
            <w:vAlign w:val="center"/>
          </w:tcPr>
          <w:p w14:paraId="18BC4585">
            <w:pPr>
              <w:jc w:val="center"/>
              <w:rPr>
                <w:rFonts w:ascii="宋体"/>
                <w:color w:val="auto"/>
                <w:sz w:val="24"/>
                <w:szCs w:val="24"/>
                <w:highlight w:val="none"/>
              </w:rPr>
            </w:pPr>
            <w:r>
              <w:rPr>
                <w:rFonts w:ascii="宋体" w:hAnsi="宋体"/>
                <w:color w:val="auto"/>
                <w:sz w:val="24"/>
                <w:szCs w:val="24"/>
                <w:highlight w:val="none"/>
              </w:rPr>
              <w:t>1</w:t>
            </w:r>
            <w:r>
              <w:rPr>
                <w:rFonts w:hint="eastAsia" w:ascii="宋体" w:hAnsi="宋体"/>
                <w:color w:val="auto"/>
                <w:sz w:val="24"/>
                <w:szCs w:val="24"/>
                <w:highlight w:val="none"/>
              </w:rPr>
              <w:t>份</w:t>
            </w:r>
          </w:p>
        </w:tc>
        <w:tc>
          <w:tcPr>
            <w:tcW w:w="1147" w:type="dxa"/>
            <w:noWrap w:val="0"/>
            <w:vAlign w:val="center"/>
          </w:tcPr>
          <w:p w14:paraId="56BAF0FA">
            <w:pPr>
              <w:jc w:val="center"/>
              <w:rPr>
                <w:rFonts w:ascii="宋体"/>
                <w:color w:val="auto"/>
                <w:sz w:val="24"/>
                <w:szCs w:val="24"/>
                <w:highlight w:val="none"/>
              </w:rPr>
            </w:pPr>
            <w:r>
              <w:rPr>
                <w:rFonts w:hint="eastAsia" w:ascii="宋体" w:hAnsi="宋体"/>
                <w:color w:val="auto"/>
                <w:sz w:val="24"/>
                <w:szCs w:val="24"/>
                <w:highlight w:val="none"/>
              </w:rPr>
              <w:t>复印件，</w:t>
            </w:r>
            <w:r>
              <w:rPr>
                <w:rFonts w:hint="eastAsia" w:ascii="宋体" w:hAnsi="宋体"/>
                <w:color w:val="auto"/>
                <w:sz w:val="24"/>
                <w:szCs w:val="24"/>
                <w:highlight w:val="none"/>
                <w:lang w:val="en-US" w:eastAsia="zh-CN"/>
              </w:rPr>
              <w:t>其中</w:t>
            </w:r>
            <w:r>
              <w:rPr>
                <w:rFonts w:hint="eastAsia" w:ascii="宋体" w:hAnsi="宋体"/>
                <w:color w:val="auto"/>
                <w:sz w:val="24"/>
                <w:szCs w:val="24"/>
                <w:highlight w:val="none"/>
              </w:rPr>
              <w:t>《</w:t>
            </w:r>
            <w:r>
              <w:rPr>
                <w:rFonts w:hint="eastAsia" w:ascii="宋体" w:hAnsi="宋体"/>
                <w:color w:val="auto"/>
                <w:sz w:val="24"/>
                <w:szCs w:val="24"/>
                <w:highlight w:val="none"/>
                <w:lang w:eastAsia="zh-CN"/>
              </w:rPr>
              <w:t>投标人</w:t>
            </w:r>
            <w:r>
              <w:rPr>
                <w:rFonts w:hint="eastAsia" w:ascii="宋体" w:hAnsi="宋体"/>
                <w:color w:val="auto"/>
                <w:sz w:val="24"/>
                <w:szCs w:val="24"/>
                <w:highlight w:val="none"/>
              </w:rPr>
              <w:t>资格声明函》为原件</w:t>
            </w:r>
          </w:p>
        </w:tc>
      </w:tr>
    </w:tbl>
    <w:p w14:paraId="5DD8E9C9">
      <w:pPr>
        <w:pStyle w:val="8"/>
        <w:spacing w:afterLines="50" w:line="360" w:lineRule="auto"/>
        <w:rPr>
          <w:b/>
          <w:bCs/>
          <w:color w:val="auto"/>
          <w:sz w:val="24"/>
          <w:szCs w:val="24"/>
          <w:highlight w:val="none"/>
        </w:rPr>
      </w:pPr>
      <w:r>
        <w:rPr>
          <w:rFonts w:hint="eastAsia"/>
          <w:b/>
          <w:bCs/>
          <w:color w:val="auto"/>
          <w:sz w:val="24"/>
          <w:szCs w:val="24"/>
          <w:highlight w:val="none"/>
        </w:rPr>
        <w:t>特别提示与要求！</w:t>
      </w:r>
    </w:p>
    <w:p w14:paraId="1FAFDCA8">
      <w:pPr>
        <w:snapToGrid w:val="0"/>
        <w:rPr>
          <w:rFonts w:ascii="宋体"/>
          <w:b/>
          <w:color w:val="auto"/>
          <w:sz w:val="44"/>
          <w:szCs w:val="44"/>
          <w:highlight w:val="none"/>
        </w:rPr>
      </w:pPr>
      <w:r>
        <w:rPr>
          <w:rFonts w:hint="eastAsia"/>
          <w:b/>
          <w:bCs/>
          <w:color w:val="auto"/>
          <w:sz w:val="24"/>
          <w:highlight w:val="none"/>
        </w:rPr>
        <w:t>以上材料将作为</w:t>
      </w:r>
      <w:r>
        <w:rPr>
          <w:rFonts w:hint="eastAsia"/>
          <w:b/>
          <w:bCs/>
          <w:color w:val="auto"/>
          <w:sz w:val="24"/>
          <w:highlight w:val="none"/>
          <w:lang w:eastAsia="zh-CN"/>
        </w:rPr>
        <w:t>投标人</w:t>
      </w:r>
      <w:r>
        <w:rPr>
          <w:rFonts w:hint="eastAsia"/>
          <w:b/>
          <w:bCs/>
          <w:color w:val="auto"/>
          <w:sz w:val="24"/>
          <w:highlight w:val="none"/>
        </w:rPr>
        <w:t>合格性和有效性审核的重要内容之一，</w:t>
      </w:r>
      <w:r>
        <w:rPr>
          <w:rFonts w:hint="eastAsia"/>
          <w:b/>
          <w:bCs/>
          <w:color w:val="auto"/>
          <w:sz w:val="24"/>
          <w:highlight w:val="none"/>
          <w:lang w:eastAsia="zh-CN"/>
        </w:rPr>
        <w:t>投标人</w:t>
      </w:r>
      <w:r>
        <w:rPr>
          <w:rFonts w:hint="eastAsia"/>
          <w:b/>
          <w:bCs/>
          <w:color w:val="auto"/>
          <w:sz w:val="24"/>
          <w:highlight w:val="none"/>
        </w:rPr>
        <w:t>必须严格按照其内容及序列要求在</w:t>
      </w:r>
      <w:r>
        <w:rPr>
          <w:rFonts w:hint="eastAsia"/>
          <w:b/>
          <w:bCs/>
          <w:color w:val="auto"/>
          <w:sz w:val="24"/>
          <w:highlight w:val="none"/>
          <w:lang w:eastAsia="zh-CN"/>
        </w:rPr>
        <w:t>竞投</w:t>
      </w:r>
      <w:r>
        <w:rPr>
          <w:rFonts w:hint="eastAsia"/>
          <w:b/>
          <w:bCs/>
          <w:color w:val="auto"/>
          <w:sz w:val="24"/>
          <w:highlight w:val="none"/>
        </w:rPr>
        <w:t>文件中对应如实提供，对缺漏和不符合项将会直接导致</w:t>
      </w:r>
      <w:r>
        <w:rPr>
          <w:rFonts w:hint="eastAsia"/>
          <w:b/>
          <w:bCs/>
          <w:color w:val="auto"/>
          <w:sz w:val="24"/>
          <w:highlight w:val="none"/>
          <w:lang w:eastAsia="zh-CN"/>
        </w:rPr>
        <w:t>资格审查不合格</w:t>
      </w:r>
      <w:r>
        <w:rPr>
          <w:rFonts w:hint="eastAsia"/>
          <w:b/>
          <w:bCs/>
          <w:color w:val="auto"/>
          <w:sz w:val="24"/>
          <w:highlight w:val="none"/>
        </w:rPr>
        <w:t>！</w:t>
      </w:r>
      <w:bookmarkEnd w:id="92"/>
    </w:p>
    <w:p w14:paraId="268B13CA">
      <w:pPr>
        <w:spacing w:after="240" w:afterLines="100" w:line="360" w:lineRule="auto"/>
        <w:jc w:val="center"/>
        <w:outlineLvl w:val="2"/>
        <w:rPr>
          <w:rFonts w:ascii="宋体"/>
          <w:b/>
          <w:color w:val="auto"/>
          <w:sz w:val="36"/>
          <w:szCs w:val="36"/>
          <w:highlight w:val="none"/>
        </w:rPr>
      </w:pPr>
      <w:bookmarkStart w:id="93" w:name="_Toc17611"/>
      <w:bookmarkStart w:id="94" w:name="_Toc7238"/>
      <w:bookmarkStart w:id="95" w:name="_Toc17147"/>
      <w:r>
        <w:rPr>
          <w:rFonts w:ascii="宋体" w:hAnsi="宋体"/>
          <w:b/>
          <w:color w:val="auto"/>
          <w:sz w:val="36"/>
          <w:szCs w:val="36"/>
          <w:highlight w:val="none"/>
        </w:rPr>
        <w:br w:type="page"/>
      </w:r>
      <w:bookmarkStart w:id="96" w:name="_Toc23930"/>
      <w:bookmarkStart w:id="97" w:name="_Toc14894"/>
      <w:bookmarkStart w:id="98" w:name="_Toc17471"/>
      <w:bookmarkStart w:id="99" w:name="_Toc29297"/>
      <w:bookmarkStart w:id="100" w:name="_Toc13229"/>
      <w:r>
        <w:rPr>
          <w:rFonts w:ascii="宋体" w:hAnsi="宋体"/>
          <w:b/>
          <w:color w:val="auto"/>
          <w:sz w:val="36"/>
          <w:szCs w:val="36"/>
          <w:highlight w:val="none"/>
        </w:rPr>
        <w:t>1.1</w:t>
      </w:r>
      <w:r>
        <w:rPr>
          <w:rFonts w:hint="eastAsia" w:ascii="宋体" w:hAnsi="宋体"/>
          <w:b/>
          <w:color w:val="auto"/>
          <w:sz w:val="36"/>
          <w:szCs w:val="36"/>
          <w:highlight w:val="none"/>
        </w:rPr>
        <w:t>法定代表人</w:t>
      </w:r>
      <w:r>
        <w:rPr>
          <w:rFonts w:ascii="宋体" w:hAnsi="宋体"/>
          <w:b/>
          <w:color w:val="auto"/>
          <w:sz w:val="36"/>
          <w:szCs w:val="36"/>
          <w:highlight w:val="none"/>
        </w:rPr>
        <w:t>/</w:t>
      </w:r>
      <w:r>
        <w:rPr>
          <w:rFonts w:hint="eastAsia" w:ascii="宋体" w:hAnsi="宋体"/>
          <w:b/>
          <w:color w:val="auto"/>
          <w:sz w:val="36"/>
          <w:szCs w:val="36"/>
          <w:highlight w:val="none"/>
        </w:rPr>
        <w:t>负责人资格证明书</w:t>
      </w:r>
      <w:bookmarkEnd w:id="93"/>
      <w:bookmarkEnd w:id="94"/>
      <w:bookmarkEnd w:id="95"/>
      <w:bookmarkEnd w:id="96"/>
      <w:bookmarkEnd w:id="97"/>
      <w:bookmarkEnd w:id="98"/>
      <w:bookmarkEnd w:id="99"/>
      <w:bookmarkEnd w:id="100"/>
    </w:p>
    <w:p w14:paraId="6D5657A9">
      <w:pPr>
        <w:spacing w:line="480" w:lineRule="exact"/>
        <w:rPr>
          <w:rFonts w:hint="eastAsia" w:ascii="宋体" w:eastAsia="宋体"/>
          <w:b/>
          <w:color w:val="auto"/>
          <w:sz w:val="24"/>
          <w:highlight w:val="none"/>
          <w:lang w:eastAsia="zh-CN"/>
        </w:rPr>
      </w:pPr>
      <w:r>
        <w:rPr>
          <w:rFonts w:hint="eastAsia" w:ascii="宋体" w:hAnsi="宋体"/>
          <w:b/>
          <w:color w:val="auto"/>
          <w:sz w:val="24"/>
          <w:highlight w:val="none"/>
        </w:rPr>
        <w:t>致：</w:t>
      </w:r>
      <w:r>
        <w:rPr>
          <w:rFonts w:hint="eastAsia" w:ascii="宋体" w:hAnsi="宋体"/>
          <w:b/>
          <w:color w:val="auto"/>
          <w:sz w:val="24"/>
          <w:highlight w:val="none"/>
          <w:lang w:eastAsia="zh-CN"/>
        </w:rPr>
        <w:t>佛山市禅城区南庄镇吉利村邓岗经济合作社</w:t>
      </w:r>
      <w:r>
        <w:rPr>
          <w:rFonts w:hint="eastAsia" w:ascii="宋体" w:hAnsi="宋体"/>
          <w:b/>
          <w:color w:val="auto"/>
          <w:sz w:val="24"/>
          <w:highlight w:val="none"/>
        </w:rPr>
        <w:t>、</w:t>
      </w:r>
      <w:r>
        <w:rPr>
          <w:rFonts w:hint="eastAsia" w:ascii="宋体" w:hAnsi="宋体"/>
          <w:b/>
          <w:color w:val="auto"/>
          <w:sz w:val="24"/>
          <w:highlight w:val="none"/>
          <w:lang w:eastAsia="zh-CN"/>
        </w:rPr>
        <w:t>广东中采招标有限公司</w:t>
      </w:r>
    </w:p>
    <w:p w14:paraId="2E9FA918">
      <w:pPr>
        <w:rPr>
          <w:rFonts w:ascii="宋体"/>
          <w:color w:val="auto"/>
          <w:sz w:val="24"/>
          <w:highlight w:val="none"/>
        </w:rPr>
      </w:pPr>
    </w:p>
    <w:p w14:paraId="233CD735">
      <w:pPr>
        <w:spacing w:line="440" w:lineRule="exact"/>
        <w:ind w:firstLine="240" w:firstLineChars="100"/>
        <w:rPr>
          <w:rFonts w:ascii="宋体"/>
          <w:color w:val="auto"/>
          <w:sz w:val="24"/>
          <w:highlight w:val="none"/>
        </w:rPr>
      </w:pPr>
      <w:r>
        <w:rPr>
          <w:rFonts w:hint="eastAsia" w:ascii="宋体" w:hAnsi="宋体"/>
          <w:color w:val="auto"/>
          <w:sz w:val="24"/>
          <w:highlight w:val="none"/>
        </w:rPr>
        <w:t>同志，现任我单位职务，为</w:t>
      </w:r>
      <w:r>
        <w:rPr>
          <w:rFonts w:hint="eastAsia" w:ascii="宋体" w:hAnsi="宋体"/>
          <w:color w:val="auto"/>
          <w:sz w:val="24"/>
          <w:highlight w:val="none"/>
          <w:u w:val="single"/>
        </w:rPr>
        <w:t>（</w:t>
      </w:r>
      <w:r>
        <w:rPr>
          <w:rFonts w:hint="eastAsia" w:ascii="宋体" w:hAnsi="宋体"/>
          <w:color w:val="auto"/>
          <w:sz w:val="24"/>
          <w:highlight w:val="none"/>
        </w:rPr>
        <w:t>法定代表人</w:t>
      </w:r>
      <w:r>
        <w:rPr>
          <w:rFonts w:ascii="宋体" w:hAnsi="宋体"/>
          <w:color w:val="auto"/>
          <w:sz w:val="24"/>
          <w:highlight w:val="none"/>
        </w:rPr>
        <w:t>/</w:t>
      </w:r>
      <w:r>
        <w:rPr>
          <w:rFonts w:hint="eastAsia" w:ascii="宋体" w:hAnsi="宋体"/>
          <w:color w:val="auto"/>
          <w:sz w:val="24"/>
          <w:highlight w:val="none"/>
        </w:rPr>
        <w:t>负责人），特此证明。</w:t>
      </w:r>
    </w:p>
    <w:p w14:paraId="78396647">
      <w:pPr>
        <w:spacing w:line="440" w:lineRule="exact"/>
        <w:ind w:firstLine="240" w:firstLineChars="100"/>
        <w:rPr>
          <w:rFonts w:hint="eastAsia" w:ascii="宋体" w:eastAsia="宋体"/>
          <w:color w:val="auto"/>
          <w:sz w:val="24"/>
          <w:highlight w:val="none"/>
          <w:lang w:eastAsia="zh-CN"/>
        </w:rPr>
      </w:pPr>
      <w:r>
        <w:rPr>
          <w:rFonts w:hint="eastAsia" w:ascii="宋体" w:hAnsi="宋体"/>
          <w:color w:val="auto"/>
          <w:sz w:val="24"/>
          <w:highlight w:val="none"/>
        </w:rPr>
        <w:t>签发日期：</w:t>
      </w:r>
      <w:r>
        <w:rPr>
          <w:rFonts w:hint="eastAsia" w:ascii="宋体" w:hAnsi="宋体"/>
          <w:color w:val="auto"/>
          <w:sz w:val="24"/>
          <w:highlight w:val="none"/>
          <w:lang w:eastAsia="zh-CN"/>
        </w:rPr>
        <w:t>2024年</w:t>
      </w:r>
      <w:r>
        <w:rPr>
          <w:rFonts w:hint="eastAsia" w:ascii="宋体" w:hAnsi="宋体"/>
          <w:color w:val="auto"/>
          <w:sz w:val="24"/>
          <w:highlight w:val="none"/>
        </w:rPr>
        <w:t>月日</w:t>
      </w:r>
    </w:p>
    <w:p w14:paraId="3E94745F">
      <w:pPr>
        <w:spacing w:line="440" w:lineRule="exact"/>
        <w:ind w:firstLine="240" w:firstLineChars="100"/>
        <w:rPr>
          <w:rFonts w:ascii="宋体"/>
          <w:color w:val="auto"/>
          <w:sz w:val="24"/>
          <w:highlight w:val="none"/>
        </w:rPr>
      </w:pPr>
      <w:r>
        <w:rPr>
          <w:rFonts w:hint="eastAsia" w:ascii="宋体" w:hAnsi="宋体"/>
          <w:color w:val="auto"/>
          <w:sz w:val="24"/>
          <w:highlight w:val="none"/>
        </w:rPr>
        <w:t>单位名称：（</w:t>
      </w:r>
      <w:r>
        <w:rPr>
          <w:rFonts w:hint="eastAsia" w:ascii="宋体" w:hAnsi="宋体"/>
          <w:color w:val="auto"/>
          <w:sz w:val="24"/>
          <w:highlight w:val="none"/>
          <w:lang w:val="zh-CN"/>
        </w:rPr>
        <w:t>加盖投标人公章</w:t>
      </w:r>
      <w:r>
        <w:rPr>
          <w:rFonts w:hint="eastAsia" w:ascii="宋体" w:hAnsi="宋体"/>
          <w:color w:val="auto"/>
          <w:sz w:val="24"/>
          <w:highlight w:val="none"/>
        </w:rPr>
        <w:t>）</w:t>
      </w:r>
    </w:p>
    <w:p w14:paraId="5BF7B171">
      <w:pPr>
        <w:spacing w:line="440" w:lineRule="exact"/>
        <w:ind w:firstLine="240" w:firstLineChars="100"/>
        <w:rPr>
          <w:rFonts w:ascii="宋体"/>
          <w:color w:val="auto"/>
          <w:sz w:val="24"/>
          <w:highlight w:val="none"/>
        </w:rPr>
      </w:pPr>
    </w:p>
    <w:p w14:paraId="229A9C7B">
      <w:pPr>
        <w:spacing w:line="440" w:lineRule="exact"/>
        <w:ind w:firstLine="240" w:firstLineChars="100"/>
        <w:rPr>
          <w:rFonts w:ascii="宋体"/>
          <w:color w:val="auto"/>
          <w:sz w:val="24"/>
          <w:highlight w:val="none"/>
          <w:u w:val="single"/>
        </w:rPr>
      </w:pPr>
      <w:r>
        <w:rPr>
          <w:rFonts w:hint="eastAsia" w:ascii="宋体" w:hAnsi="宋体"/>
          <w:color w:val="auto"/>
          <w:sz w:val="24"/>
          <w:highlight w:val="none"/>
        </w:rPr>
        <w:t>附：法定代表人</w:t>
      </w:r>
      <w:r>
        <w:rPr>
          <w:rFonts w:ascii="宋体" w:hAnsi="宋体"/>
          <w:color w:val="auto"/>
          <w:sz w:val="24"/>
          <w:highlight w:val="none"/>
        </w:rPr>
        <w:t>/</w:t>
      </w:r>
      <w:r>
        <w:rPr>
          <w:rFonts w:hint="eastAsia" w:ascii="宋体" w:hAnsi="宋体"/>
          <w:color w:val="auto"/>
          <w:sz w:val="24"/>
          <w:highlight w:val="none"/>
        </w:rPr>
        <w:t>负责人性别：年龄：</w:t>
      </w:r>
    </w:p>
    <w:p w14:paraId="1DDCD966">
      <w:pPr>
        <w:spacing w:line="440" w:lineRule="exact"/>
        <w:ind w:firstLine="720" w:firstLineChars="300"/>
        <w:rPr>
          <w:rFonts w:ascii="宋体"/>
          <w:color w:val="auto"/>
          <w:sz w:val="24"/>
          <w:highlight w:val="none"/>
          <w:u w:val="single"/>
        </w:rPr>
      </w:pPr>
      <w:r>
        <w:rPr>
          <w:rFonts w:hint="eastAsia" w:ascii="宋体" w:hAnsi="宋体"/>
          <w:color w:val="auto"/>
          <w:sz w:val="24"/>
          <w:highlight w:val="none"/>
        </w:rPr>
        <w:t>身份证号码：</w:t>
      </w:r>
    </w:p>
    <w:p w14:paraId="1571CEE2">
      <w:pPr>
        <w:spacing w:line="440" w:lineRule="exact"/>
        <w:ind w:firstLine="720" w:firstLineChars="300"/>
        <w:rPr>
          <w:rFonts w:ascii="宋体"/>
          <w:color w:val="auto"/>
          <w:sz w:val="24"/>
          <w:highlight w:val="none"/>
        </w:rPr>
      </w:pPr>
      <w:r>
        <w:rPr>
          <w:rFonts w:hint="eastAsia" w:ascii="宋体" w:hAnsi="宋体"/>
          <w:color w:val="auto"/>
          <w:sz w:val="24"/>
          <w:highlight w:val="none"/>
        </w:rPr>
        <w:t>联系电话：</w:t>
      </w:r>
    </w:p>
    <w:p w14:paraId="1C45FB38">
      <w:pPr>
        <w:spacing w:line="440" w:lineRule="exact"/>
        <w:ind w:firstLine="720" w:firstLineChars="300"/>
        <w:rPr>
          <w:rFonts w:ascii="宋体"/>
          <w:color w:val="auto"/>
          <w:sz w:val="24"/>
          <w:highlight w:val="none"/>
        </w:rPr>
      </w:pPr>
      <w:r>
        <w:rPr>
          <w:rFonts w:hint="eastAsia" w:ascii="宋体" w:hAnsi="宋体"/>
          <w:color w:val="auto"/>
          <w:sz w:val="24"/>
          <w:highlight w:val="none"/>
        </w:rPr>
        <w:t>营业执照号码：</w:t>
      </w:r>
    </w:p>
    <w:p w14:paraId="65B5CB51">
      <w:pPr>
        <w:spacing w:line="440" w:lineRule="exact"/>
        <w:ind w:firstLine="720" w:firstLineChars="300"/>
        <w:rPr>
          <w:rFonts w:ascii="宋体"/>
          <w:color w:val="auto"/>
          <w:sz w:val="24"/>
          <w:highlight w:val="none"/>
        </w:rPr>
      </w:pPr>
      <w:r>
        <w:rPr>
          <w:rFonts w:hint="eastAsia" w:ascii="宋体" w:hAnsi="宋体"/>
          <w:color w:val="auto"/>
          <w:sz w:val="24"/>
          <w:highlight w:val="none"/>
        </w:rPr>
        <w:t>单位性质：</w:t>
      </w:r>
    </w:p>
    <w:p w14:paraId="502A5845">
      <w:pPr>
        <w:spacing w:line="440" w:lineRule="exact"/>
        <w:ind w:firstLine="720" w:firstLineChars="300"/>
        <w:rPr>
          <w:rFonts w:ascii="宋体"/>
          <w:color w:val="auto"/>
          <w:sz w:val="24"/>
          <w:highlight w:val="none"/>
        </w:rPr>
      </w:pPr>
      <w:r>
        <w:rPr>
          <w:rFonts w:hint="eastAsia"/>
          <w:color w:val="auto"/>
          <w:sz w:val="24"/>
          <w:highlight w:val="none"/>
        </w:rPr>
        <w:t>成立时间：</w:t>
      </w:r>
    </w:p>
    <w:p w14:paraId="298468B2">
      <w:pPr>
        <w:spacing w:line="440" w:lineRule="exact"/>
        <w:rPr>
          <w:rFonts w:ascii="宋体"/>
          <w:color w:val="auto"/>
          <w:sz w:val="24"/>
          <w:highlight w:val="none"/>
        </w:rPr>
      </w:pPr>
    </w:p>
    <w:p w14:paraId="28FEDAEB">
      <w:pPr>
        <w:spacing w:line="440" w:lineRule="exact"/>
        <w:ind w:left="960" w:hanging="960" w:hangingChars="400"/>
        <w:rPr>
          <w:rFonts w:ascii="宋体"/>
          <w:color w:val="auto"/>
          <w:sz w:val="24"/>
          <w:highlight w:val="none"/>
        </w:rPr>
      </w:pPr>
      <w:r>
        <w:rPr>
          <w:rFonts w:hint="eastAsia" w:ascii="宋体" w:hAnsi="宋体"/>
          <w:color w:val="auto"/>
          <w:sz w:val="24"/>
          <w:highlight w:val="none"/>
        </w:rPr>
        <w:t>说明：</w:t>
      </w:r>
      <w:r>
        <w:rPr>
          <w:rFonts w:ascii="宋体" w:hAnsi="宋体"/>
          <w:color w:val="auto"/>
          <w:sz w:val="24"/>
          <w:highlight w:val="none"/>
        </w:rPr>
        <w:t>1.</w:t>
      </w:r>
      <w:r>
        <w:rPr>
          <w:rFonts w:hint="eastAsia" w:ascii="宋体" w:hAnsi="宋体"/>
          <w:color w:val="auto"/>
          <w:sz w:val="24"/>
          <w:highlight w:val="none"/>
        </w:rPr>
        <w:t>法定代表人</w:t>
      </w:r>
      <w:r>
        <w:rPr>
          <w:rFonts w:ascii="宋体" w:hAnsi="宋体"/>
          <w:color w:val="auto"/>
          <w:sz w:val="24"/>
          <w:highlight w:val="none"/>
        </w:rPr>
        <w:t>/</w:t>
      </w:r>
      <w:r>
        <w:rPr>
          <w:rFonts w:hint="eastAsia" w:ascii="宋体" w:hAnsi="宋体"/>
          <w:color w:val="auto"/>
          <w:sz w:val="24"/>
          <w:highlight w:val="none"/>
        </w:rPr>
        <w:t>负责人为企业事业单位、国家机关、社会团体的主要行政负责人。</w:t>
      </w:r>
    </w:p>
    <w:p w14:paraId="1E7F2AF1">
      <w:pPr>
        <w:spacing w:line="440" w:lineRule="exact"/>
        <w:rPr>
          <w:rFonts w:ascii="宋体"/>
          <w:color w:val="auto"/>
          <w:sz w:val="24"/>
          <w:highlight w:val="none"/>
        </w:rPr>
      </w:pPr>
      <w:r>
        <w:rPr>
          <w:rFonts w:ascii="宋体" w:hAnsi="宋体"/>
          <w:color w:val="auto"/>
          <w:sz w:val="24"/>
          <w:highlight w:val="none"/>
        </w:rPr>
        <w:t>2.</w:t>
      </w:r>
      <w:r>
        <w:rPr>
          <w:rFonts w:hint="eastAsia" w:ascii="宋体" w:hAnsi="宋体"/>
          <w:color w:val="auto"/>
          <w:sz w:val="24"/>
          <w:highlight w:val="none"/>
        </w:rPr>
        <w:t>内容必须填写真实、清楚、涂改无效，不得转让、买卖。</w:t>
      </w:r>
    </w:p>
    <w:p w14:paraId="4C6E30EE">
      <w:pPr>
        <w:spacing w:line="440" w:lineRule="exact"/>
        <w:ind w:firstLine="720" w:firstLineChars="300"/>
        <w:rPr>
          <w:rFonts w:ascii="宋体"/>
          <w:b/>
          <w:color w:val="auto"/>
          <w:sz w:val="24"/>
          <w:highlight w:val="none"/>
        </w:rPr>
      </w:pPr>
      <w:r>
        <w:rPr>
          <w:rFonts w:ascii="宋体" w:hAnsi="宋体"/>
          <w:color w:val="auto"/>
          <w:sz w:val="24"/>
          <w:highlight w:val="none"/>
        </w:rPr>
        <w:t>3.</w:t>
      </w:r>
      <w:r>
        <w:rPr>
          <w:rFonts w:hint="eastAsia" w:ascii="宋体" w:hAnsi="宋体"/>
          <w:color w:val="auto"/>
          <w:sz w:val="24"/>
          <w:highlight w:val="none"/>
        </w:rPr>
        <w:t>将此证明书提交对方作为合同附件</w:t>
      </w:r>
      <w:r>
        <w:rPr>
          <w:rFonts w:hint="eastAsia" w:ascii="宋体" w:hAnsi="宋体"/>
          <w:b/>
          <w:color w:val="auto"/>
          <w:sz w:val="24"/>
          <w:highlight w:val="none"/>
        </w:rPr>
        <w:t>。</w:t>
      </w:r>
    </w:p>
    <w:p w14:paraId="2A51BF98">
      <w:pPr>
        <w:rPr>
          <w:rFonts w:ascii="宋体"/>
          <w:color w:val="auto"/>
          <w:sz w:val="24"/>
          <w:highlight w:val="none"/>
        </w:rPr>
      </w:pPr>
    </w:p>
    <w:p w14:paraId="20993BD1">
      <w:pPr>
        <w:rPr>
          <w:rFonts w:ascii="宋体"/>
          <w:color w:val="auto"/>
          <w:sz w:val="24"/>
          <w:highlight w:val="none"/>
        </w:rPr>
      </w:pPr>
    </w:p>
    <w:p w14:paraId="3031BFFA">
      <w:pPr>
        <w:spacing w:after="120" w:afterLines="50"/>
        <w:ind w:left="3" w:leftChars="-85" w:hanging="181" w:hangingChars="75"/>
        <w:rPr>
          <w:rFonts w:ascii="宋体"/>
          <w:b/>
          <w:color w:val="auto"/>
          <w:sz w:val="24"/>
          <w:highlight w:val="none"/>
        </w:rPr>
      </w:pPr>
      <w:r>
        <w:rPr>
          <w:rFonts w:hint="eastAsia" w:ascii="宋体" w:hAnsi="宋体"/>
          <w:b/>
          <w:color w:val="auto"/>
          <w:sz w:val="24"/>
          <w:highlight w:val="none"/>
        </w:rPr>
        <w:t>附：法定代表人</w:t>
      </w:r>
      <w:r>
        <w:rPr>
          <w:rFonts w:ascii="宋体" w:hAnsi="宋体"/>
          <w:b/>
          <w:color w:val="auto"/>
          <w:sz w:val="24"/>
          <w:highlight w:val="none"/>
        </w:rPr>
        <w:t>/</w:t>
      </w:r>
      <w:r>
        <w:rPr>
          <w:rFonts w:hint="eastAsia" w:ascii="宋体" w:hAnsi="宋体"/>
          <w:b/>
          <w:color w:val="auto"/>
          <w:sz w:val="24"/>
          <w:highlight w:val="none"/>
        </w:rPr>
        <w:t>负责人的身份证复印件：</w:t>
      </w:r>
    </w:p>
    <w:tbl>
      <w:tblPr>
        <w:tblStyle w:val="20"/>
        <w:tblW w:w="939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396"/>
      </w:tblGrid>
      <w:tr w14:paraId="082189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2" w:hRule="atLeast"/>
          <w:jc w:val="center"/>
        </w:trPr>
        <w:tc>
          <w:tcPr>
            <w:tcW w:w="9396" w:type="dxa"/>
            <w:noWrap w:val="0"/>
            <w:vAlign w:val="center"/>
          </w:tcPr>
          <w:p w14:paraId="70A44C5F">
            <w:pPr>
              <w:spacing w:line="360" w:lineRule="auto"/>
              <w:jc w:val="center"/>
              <w:rPr>
                <w:rFonts w:hAnsi="宋体"/>
                <w:color w:val="auto"/>
                <w:sz w:val="24"/>
                <w:highlight w:val="none"/>
              </w:rPr>
            </w:pPr>
            <w:r>
              <w:rPr>
                <w:rFonts w:hint="eastAsia" w:hAnsi="宋体"/>
                <w:color w:val="auto"/>
                <w:sz w:val="24"/>
                <w:highlight w:val="none"/>
              </w:rPr>
              <w:t>粘贴法定代表人</w:t>
            </w:r>
            <w:r>
              <w:rPr>
                <w:rFonts w:ascii="宋体" w:hAnsi="宋体"/>
                <w:color w:val="auto"/>
                <w:sz w:val="24"/>
                <w:highlight w:val="none"/>
              </w:rPr>
              <w:t>/</w:t>
            </w:r>
            <w:r>
              <w:rPr>
                <w:rFonts w:hint="eastAsia" w:ascii="宋体" w:hAnsi="宋体"/>
                <w:color w:val="auto"/>
                <w:sz w:val="24"/>
                <w:highlight w:val="none"/>
              </w:rPr>
              <w:t>负责人</w:t>
            </w:r>
            <w:r>
              <w:rPr>
                <w:rFonts w:hint="eastAsia" w:hAnsi="宋体"/>
                <w:color w:val="auto"/>
                <w:sz w:val="24"/>
                <w:highlight w:val="none"/>
              </w:rPr>
              <w:t>身份证复印件</w:t>
            </w:r>
            <w:r>
              <w:rPr>
                <w:rFonts w:hint="eastAsia" w:hAnsi="宋体"/>
                <w:b/>
                <w:color w:val="auto"/>
                <w:sz w:val="24"/>
                <w:highlight w:val="none"/>
              </w:rPr>
              <w:t>或</w:t>
            </w:r>
            <w:r>
              <w:rPr>
                <w:rFonts w:hint="eastAsia" w:hAnsi="宋体"/>
                <w:color w:val="auto"/>
                <w:sz w:val="24"/>
                <w:highlight w:val="none"/>
              </w:rPr>
              <w:t>直接扫描到此张纸上。</w:t>
            </w:r>
          </w:p>
          <w:p w14:paraId="6FFA9C82">
            <w:pPr>
              <w:spacing w:line="360" w:lineRule="auto"/>
              <w:jc w:val="center"/>
              <w:rPr>
                <w:rFonts w:ascii="宋体"/>
                <w:b/>
                <w:color w:val="auto"/>
                <w:sz w:val="24"/>
                <w:highlight w:val="none"/>
              </w:rPr>
            </w:pPr>
            <w:r>
              <w:rPr>
                <w:rFonts w:hint="eastAsia" w:hAnsi="宋体"/>
                <w:color w:val="auto"/>
                <w:sz w:val="24"/>
                <w:highlight w:val="none"/>
              </w:rPr>
              <w:t>注：若页面不够位置的，可另行附页，但须紧接此页</w:t>
            </w:r>
          </w:p>
        </w:tc>
      </w:tr>
    </w:tbl>
    <w:p w14:paraId="6C1C573D">
      <w:pPr>
        <w:rPr>
          <w:rFonts w:ascii="宋体"/>
          <w:b/>
          <w:color w:val="auto"/>
          <w:sz w:val="24"/>
          <w:highlight w:val="none"/>
        </w:rPr>
      </w:pPr>
    </w:p>
    <w:p w14:paraId="2125A629">
      <w:pPr>
        <w:ind w:left="472" w:hanging="472" w:hangingChars="196"/>
        <w:rPr>
          <w:rFonts w:ascii="宋体"/>
          <w:b/>
          <w:color w:val="auto"/>
          <w:sz w:val="24"/>
          <w:highlight w:val="none"/>
        </w:rPr>
      </w:pPr>
      <w:r>
        <w:rPr>
          <w:rFonts w:hint="eastAsia" w:ascii="宋体" w:hAnsi="宋体"/>
          <w:b/>
          <w:color w:val="auto"/>
          <w:sz w:val="24"/>
          <w:highlight w:val="none"/>
        </w:rPr>
        <w:t>注：法定代表人</w:t>
      </w:r>
      <w:r>
        <w:rPr>
          <w:rFonts w:ascii="宋体" w:hAnsi="宋体"/>
          <w:b/>
          <w:color w:val="auto"/>
          <w:sz w:val="24"/>
          <w:highlight w:val="none"/>
        </w:rPr>
        <w:t>/</w:t>
      </w:r>
      <w:r>
        <w:rPr>
          <w:rFonts w:hint="eastAsia" w:ascii="宋体" w:hAnsi="宋体"/>
          <w:b/>
          <w:color w:val="auto"/>
          <w:sz w:val="24"/>
          <w:highlight w:val="none"/>
        </w:rPr>
        <w:t>负责人或授权代表人在递交</w:t>
      </w:r>
      <w:r>
        <w:rPr>
          <w:rFonts w:hint="eastAsia" w:ascii="宋体" w:hAnsi="宋体"/>
          <w:b/>
          <w:color w:val="auto"/>
          <w:sz w:val="24"/>
          <w:highlight w:val="none"/>
          <w:lang w:eastAsia="zh-CN"/>
        </w:rPr>
        <w:t>竞投</w:t>
      </w:r>
      <w:r>
        <w:rPr>
          <w:rFonts w:hint="eastAsia" w:ascii="宋体" w:hAnsi="宋体"/>
          <w:b/>
          <w:color w:val="auto"/>
          <w:sz w:val="24"/>
          <w:highlight w:val="none"/>
        </w:rPr>
        <w:t>文件时，须向</w:t>
      </w:r>
      <w:r>
        <w:rPr>
          <w:rFonts w:hint="eastAsia" w:ascii="宋体" w:hAnsi="宋体"/>
          <w:b/>
          <w:color w:val="auto"/>
          <w:sz w:val="24"/>
          <w:highlight w:val="none"/>
          <w:lang w:eastAsia="zh-CN"/>
        </w:rPr>
        <w:t>招标代理机构</w:t>
      </w:r>
      <w:r>
        <w:rPr>
          <w:rFonts w:hint="eastAsia" w:ascii="宋体" w:hAnsi="宋体"/>
          <w:b/>
          <w:color w:val="auto"/>
          <w:sz w:val="24"/>
          <w:highlight w:val="none"/>
        </w:rPr>
        <w:t>人员出示此份证明书的</w:t>
      </w:r>
      <w:r>
        <w:rPr>
          <w:rFonts w:hint="eastAsia" w:ascii="宋体" w:hAnsi="宋体"/>
          <w:b/>
          <w:color w:val="auto"/>
          <w:sz w:val="24"/>
          <w:highlight w:val="none"/>
          <w:u w:val="single"/>
        </w:rPr>
        <w:t>原件</w:t>
      </w:r>
      <w:r>
        <w:rPr>
          <w:rFonts w:hint="eastAsia" w:ascii="宋体" w:hAnsi="宋体"/>
          <w:b/>
          <w:color w:val="auto"/>
          <w:sz w:val="24"/>
          <w:highlight w:val="none"/>
        </w:rPr>
        <w:t>，否则，</w:t>
      </w:r>
      <w:r>
        <w:rPr>
          <w:rFonts w:hint="eastAsia" w:ascii="宋体" w:hAnsi="宋体"/>
          <w:b/>
          <w:color w:val="auto"/>
          <w:sz w:val="24"/>
          <w:highlight w:val="none"/>
          <w:lang w:eastAsia="zh-CN"/>
        </w:rPr>
        <w:t>招标代理机构</w:t>
      </w:r>
      <w:r>
        <w:rPr>
          <w:rFonts w:hint="eastAsia" w:ascii="宋体" w:hAnsi="宋体"/>
          <w:b/>
          <w:color w:val="auto"/>
          <w:sz w:val="24"/>
          <w:highlight w:val="none"/>
        </w:rPr>
        <w:t>将有权拒收其</w:t>
      </w:r>
      <w:r>
        <w:rPr>
          <w:rFonts w:hint="eastAsia" w:ascii="宋体" w:hAnsi="宋体"/>
          <w:b/>
          <w:color w:val="auto"/>
          <w:sz w:val="24"/>
          <w:highlight w:val="none"/>
          <w:lang w:eastAsia="zh-CN"/>
        </w:rPr>
        <w:t>资格审查</w:t>
      </w:r>
      <w:r>
        <w:rPr>
          <w:rFonts w:hint="eastAsia" w:ascii="宋体" w:hAnsi="宋体"/>
          <w:b/>
          <w:color w:val="auto"/>
          <w:sz w:val="24"/>
          <w:highlight w:val="none"/>
        </w:rPr>
        <w:t>文件。</w:t>
      </w:r>
    </w:p>
    <w:p w14:paraId="332F446E">
      <w:pPr>
        <w:rPr>
          <w:rFonts w:ascii="宋体"/>
          <w:b/>
          <w:color w:val="auto"/>
          <w:szCs w:val="21"/>
          <w:highlight w:val="none"/>
        </w:rPr>
      </w:pPr>
      <w:r>
        <w:rPr>
          <w:color w:val="auto"/>
          <w:sz w:val="24"/>
          <w:highlight w:val="none"/>
        </w:rPr>
        <w:br w:type="page"/>
      </w:r>
    </w:p>
    <w:p w14:paraId="2FE8DAA7">
      <w:pPr>
        <w:spacing w:after="120" w:afterLines="50" w:line="360" w:lineRule="auto"/>
        <w:jc w:val="center"/>
        <w:outlineLvl w:val="2"/>
        <w:rPr>
          <w:rFonts w:ascii="宋体"/>
          <w:b/>
          <w:color w:val="auto"/>
          <w:sz w:val="36"/>
          <w:szCs w:val="36"/>
          <w:highlight w:val="none"/>
        </w:rPr>
      </w:pPr>
      <w:bookmarkStart w:id="101" w:name="_Toc18905"/>
      <w:bookmarkStart w:id="102" w:name="_Toc1989"/>
      <w:bookmarkStart w:id="103" w:name="_Toc31129"/>
      <w:bookmarkStart w:id="104" w:name="_Toc19126"/>
      <w:bookmarkStart w:id="105" w:name="_Toc13271"/>
      <w:bookmarkStart w:id="106" w:name="_Toc3208"/>
      <w:bookmarkStart w:id="107" w:name="_Toc28451"/>
      <w:bookmarkStart w:id="108" w:name="_Toc7452"/>
      <w:r>
        <w:rPr>
          <w:rFonts w:ascii="宋体" w:hAnsi="宋体"/>
          <w:b/>
          <w:color w:val="auto"/>
          <w:sz w:val="36"/>
          <w:szCs w:val="36"/>
          <w:highlight w:val="none"/>
        </w:rPr>
        <w:t>1.2</w:t>
      </w:r>
      <w:r>
        <w:rPr>
          <w:rFonts w:hint="eastAsia" w:ascii="宋体" w:hAnsi="宋体"/>
          <w:b/>
          <w:color w:val="auto"/>
          <w:sz w:val="36"/>
          <w:szCs w:val="36"/>
          <w:highlight w:val="none"/>
        </w:rPr>
        <w:t>法定代表人</w:t>
      </w:r>
      <w:r>
        <w:rPr>
          <w:rFonts w:ascii="宋体" w:hAnsi="宋体"/>
          <w:b/>
          <w:color w:val="auto"/>
          <w:sz w:val="36"/>
          <w:szCs w:val="36"/>
          <w:highlight w:val="none"/>
        </w:rPr>
        <w:t>/</w:t>
      </w:r>
      <w:r>
        <w:rPr>
          <w:rFonts w:hint="eastAsia" w:ascii="宋体" w:hAnsi="宋体"/>
          <w:b/>
          <w:color w:val="auto"/>
          <w:sz w:val="36"/>
          <w:szCs w:val="36"/>
          <w:highlight w:val="none"/>
        </w:rPr>
        <w:t>负责人授权书</w:t>
      </w:r>
      <w:bookmarkEnd w:id="101"/>
      <w:bookmarkEnd w:id="102"/>
      <w:bookmarkEnd w:id="103"/>
      <w:bookmarkEnd w:id="104"/>
      <w:bookmarkEnd w:id="105"/>
      <w:bookmarkEnd w:id="106"/>
      <w:bookmarkEnd w:id="107"/>
      <w:bookmarkEnd w:id="108"/>
    </w:p>
    <w:p w14:paraId="05681D06">
      <w:pPr>
        <w:spacing w:after="120" w:afterLines="50" w:line="360" w:lineRule="auto"/>
        <w:rPr>
          <w:rFonts w:hint="eastAsia" w:ascii="宋体" w:eastAsia="宋体"/>
          <w:color w:val="auto"/>
          <w:sz w:val="24"/>
          <w:highlight w:val="none"/>
          <w:lang w:eastAsia="zh-CN"/>
        </w:rPr>
      </w:pPr>
      <w:r>
        <w:rPr>
          <w:rFonts w:hint="eastAsia" w:ascii="宋体" w:hAnsi="宋体"/>
          <w:b/>
          <w:color w:val="auto"/>
          <w:sz w:val="24"/>
          <w:highlight w:val="none"/>
        </w:rPr>
        <w:t>致：</w:t>
      </w:r>
      <w:r>
        <w:rPr>
          <w:rFonts w:hint="eastAsia" w:ascii="宋体" w:hAnsi="宋体"/>
          <w:b/>
          <w:color w:val="auto"/>
          <w:sz w:val="24"/>
          <w:highlight w:val="none"/>
          <w:lang w:eastAsia="zh-CN"/>
        </w:rPr>
        <w:t>佛山市禅城区南庄镇吉利村邓岗经济合作社</w:t>
      </w:r>
      <w:r>
        <w:rPr>
          <w:rFonts w:hint="eastAsia" w:ascii="宋体" w:hAnsi="宋体"/>
          <w:b/>
          <w:color w:val="auto"/>
          <w:sz w:val="24"/>
          <w:highlight w:val="none"/>
        </w:rPr>
        <w:t>、</w:t>
      </w:r>
      <w:r>
        <w:rPr>
          <w:rFonts w:hint="eastAsia" w:ascii="宋体" w:hAnsi="宋体"/>
          <w:b/>
          <w:color w:val="auto"/>
          <w:sz w:val="24"/>
          <w:highlight w:val="none"/>
          <w:lang w:eastAsia="zh-CN"/>
        </w:rPr>
        <w:t>广东中采招标有限公司</w:t>
      </w:r>
    </w:p>
    <w:p w14:paraId="6F4DA7B3">
      <w:pPr>
        <w:spacing w:line="324" w:lineRule="auto"/>
        <w:ind w:firstLine="480" w:firstLineChars="200"/>
        <w:rPr>
          <w:rFonts w:ascii="宋体"/>
          <w:color w:val="auto"/>
          <w:sz w:val="24"/>
          <w:highlight w:val="none"/>
          <w:lang w:val="en-GB"/>
        </w:rPr>
      </w:pPr>
      <w:r>
        <w:rPr>
          <w:rFonts w:hint="eastAsia" w:ascii="宋体" w:hAnsi="宋体"/>
          <w:color w:val="auto"/>
          <w:sz w:val="24"/>
          <w:highlight w:val="none"/>
          <w:lang w:val="en-GB"/>
        </w:rPr>
        <w:t>我单位特授权委任以下之现职员工，作为我方于本项目</w:t>
      </w:r>
      <w:r>
        <w:rPr>
          <w:rFonts w:hint="eastAsia" w:ascii="宋体" w:hAnsi="宋体"/>
          <w:color w:val="auto"/>
          <w:sz w:val="24"/>
          <w:highlight w:val="none"/>
          <w:lang w:val="en-GB" w:eastAsia="zh-CN"/>
        </w:rPr>
        <w:t>竞投</w:t>
      </w:r>
      <w:r>
        <w:rPr>
          <w:rFonts w:hint="eastAsia" w:ascii="宋体" w:hAnsi="宋体"/>
          <w:color w:val="auto"/>
          <w:sz w:val="24"/>
          <w:highlight w:val="none"/>
          <w:lang w:val="en-GB"/>
        </w:rPr>
        <w:t>的唯一</w:t>
      </w:r>
      <w:r>
        <w:rPr>
          <w:rFonts w:hint="eastAsia" w:ascii="宋体" w:hAnsi="宋体" w:cs="宋体"/>
          <w:color w:val="auto"/>
          <w:sz w:val="24"/>
          <w:highlight w:val="none"/>
          <w:lang w:val="en-GB"/>
        </w:rPr>
        <w:t>全权代表</w:t>
      </w:r>
      <w:r>
        <w:rPr>
          <w:rFonts w:hint="eastAsia" w:ascii="宋体" w:hAnsi="宋体"/>
          <w:color w:val="auto"/>
          <w:sz w:val="24"/>
          <w:highlight w:val="none"/>
          <w:lang w:val="en-GB"/>
        </w:rPr>
        <w:t>，亲自出席参与贵方承办的项目</w:t>
      </w:r>
      <w:r>
        <w:rPr>
          <w:rFonts w:hint="eastAsia" w:ascii="宋体" w:hAnsi="宋体"/>
          <w:color w:val="auto"/>
          <w:sz w:val="24"/>
          <w:highlight w:val="none"/>
          <w:lang w:val="en-GB" w:eastAsia="zh-CN"/>
        </w:rPr>
        <w:t>竞投</w:t>
      </w:r>
      <w:r>
        <w:rPr>
          <w:rFonts w:hint="eastAsia" w:ascii="宋体" w:hAnsi="宋体"/>
          <w:color w:val="auto"/>
          <w:sz w:val="24"/>
          <w:highlight w:val="none"/>
          <w:lang w:val="en-GB"/>
        </w:rPr>
        <w:t>，对该代表人所提供、签署的一切文书均视为符合我方的合法利益和真实意愿，我方愿为其</w:t>
      </w:r>
      <w:r>
        <w:rPr>
          <w:rFonts w:hint="eastAsia" w:ascii="宋体" w:hAnsi="宋体"/>
          <w:color w:val="auto"/>
          <w:sz w:val="24"/>
          <w:highlight w:val="none"/>
          <w:lang w:val="en-GB" w:eastAsia="zh-CN"/>
        </w:rPr>
        <w:t>竞投</w:t>
      </w:r>
      <w:r>
        <w:rPr>
          <w:rFonts w:hint="eastAsia" w:ascii="宋体" w:hAnsi="宋体"/>
          <w:color w:val="auto"/>
          <w:sz w:val="24"/>
          <w:highlight w:val="none"/>
          <w:lang w:val="en-GB"/>
        </w:rPr>
        <w:t>行为承担全部责任。</w:t>
      </w:r>
    </w:p>
    <w:p w14:paraId="78644B9D">
      <w:pPr>
        <w:spacing w:line="324" w:lineRule="auto"/>
        <w:ind w:left="1727" w:leftChars="251" w:hanging="1200" w:hangingChars="500"/>
        <w:jc w:val="left"/>
        <w:rPr>
          <w:rFonts w:hint="eastAsia" w:ascii="宋体" w:eastAsia="宋体"/>
          <w:color w:val="auto"/>
          <w:sz w:val="24"/>
          <w:highlight w:val="none"/>
          <w:lang w:val="en-GB" w:eastAsia="zh-CN"/>
        </w:rPr>
      </w:pPr>
      <w:r>
        <w:rPr>
          <w:rFonts w:hint="eastAsia" w:ascii="宋体" w:hAnsi="宋体"/>
          <w:color w:val="auto"/>
          <w:sz w:val="24"/>
          <w:highlight w:val="none"/>
        </w:rPr>
        <w:t>项目名称：</w:t>
      </w:r>
      <w:r>
        <w:rPr>
          <w:rFonts w:hint="eastAsia" w:ascii="宋体" w:hAnsi="宋体"/>
          <w:color w:val="auto"/>
          <w:sz w:val="24"/>
          <w:highlight w:val="none"/>
          <w:lang w:val="en-GB" w:eastAsia="zh-CN"/>
        </w:rPr>
        <w:t>吉利邓岗村车辆停放管理服务</w:t>
      </w:r>
    </w:p>
    <w:p w14:paraId="11003DD8">
      <w:pPr>
        <w:spacing w:line="324" w:lineRule="auto"/>
        <w:ind w:firstLine="480" w:firstLineChars="200"/>
        <w:jc w:val="left"/>
        <w:rPr>
          <w:rFonts w:ascii="宋体"/>
          <w:color w:val="auto"/>
          <w:sz w:val="24"/>
          <w:highlight w:val="none"/>
        </w:rPr>
      </w:pPr>
      <w:r>
        <w:rPr>
          <w:rFonts w:hint="eastAsia" w:ascii="宋体" w:hAnsi="宋体"/>
          <w:color w:val="auto"/>
          <w:sz w:val="24"/>
          <w:highlight w:val="none"/>
        </w:rPr>
        <w:t>委任授权代表姓名：</w:t>
      </w:r>
      <w:r>
        <w:rPr>
          <w:rFonts w:hint="eastAsia" w:ascii="宋体" w:hAnsi="宋体"/>
          <w:color w:val="auto"/>
          <w:sz w:val="24"/>
          <w:highlight w:val="none"/>
          <w:u w:val="single"/>
        </w:rPr>
        <w:t>（印刷体）</w:t>
      </w:r>
      <w:r>
        <w:rPr>
          <w:rFonts w:hint="eastAsia" w:ascii="宋体" w:hAnsi="宋体"/>
          <w:color w:val="auto"/>
          <w:sz w:val="24"/>
          <w:highlight w:val="none"/>
        </w:rPr>
        <w:t>，身份证号码：；</w:t>
      </w:r>
    </w:p>
    <w:p w14:paraId="21C316B4">
      <w:pPr>
        <w:spacing w:line="324" w:lineRule="auto"/>
        <w:ind w:firstLine="480" w:firstLineChars="200"/>
        <w:jc w:val="left"/>
        <w:rPr>
          <w:color w:val="auto"/>
          <w:highlight w:val="none"/>
        </w:rPr>
      </w:pPr>
      <w:r>
        <w:rPr>
          <w:rFonts w:hint="eastAsia" w:ascii="宋体" w:hAnsi="宋体"/>
          <w:color w:val="auto"/>
          <w:sz w:val="24"/>
          <w:highlight w:val="none"/>
        </w:rPr>
        <w:t>委任授权代表姓名：</w:t>
      </w:r>
      <w:r>
        <w:rPr>
          <w:rFonts w:hint="eastAsia" w:ascii="宋体" w:hAnsi="宋体"/>
          <w:color w:val="auto"/>
          <w:sz w:val="24"/>
          <w:highlight w:val="none"/>
          <w:u w:val="single"/>
        </w:rPr>
        <w:t>（亲笔签名）</w:t>
      </w:r>
      <w:r>
        <w:rPr>
          <w:rFonts w:hint="eastAsia" w:ascii="宋体" w:hAnsi="宋体"/>
          <w:color w:val="auto"/>
          <w:sz w:val="24"/>
          <w:highlight w:val="none"/>
        </w:rPr>
        <w:t>；</w:t>
      </w:r>
    </w:p>
    <w:p w14:paraId="36FFAA28">
      <w:pPr>
        <w:spacing w:line="324" w:lineRule="auto"/>
        <w:ind w:firstLine="480" w:firstLineChars="200"/>
        <w:jc w:val="left"/>
        <w:rPr>
          <w:rFonts w:hint="eastAsia" w:ascii="宋体" w:eastAsia="宋体"/>
          <w:color w:val="auto"/>
          <w:sz w:val="24"/>
          <w:highlight w:val="none"/>
          <w:lang w:eastAsia="zh-CN"/>
        </w:rPr>
      </w:pPr>
      <w:r>
        <w:rPr>
          <w:rFonts w:hint="eastAsia" w:ascii="宋体" w:hAnsi="宋体"/>
          <w:color w:val="auto"/>
          <w:sz w:val="24"/>
          <w:highlight w:val="none"/>
        </w:rPr>
        <w:t>联系电话（手机）：，现职务：；</w:t>
      </w:r>
    </w:p>
    <w:p w14:paraId="568A6D88">
      <w:pPr>
        <w:spacing w:line="324" w:lineRule="auto"/>
        <w:ind w:firstLine="480" w:firstLineChars="200"/>
        <w:jc w:val="left"/>
        <w:rPr>
          <w:rFonts w:ascii="宋体"/>
          <w:color w:val="auto"/>
          <w:sz w:val="24"/>
          <w:highlight w:val="none"/>
        </w:rPr>
      </w:pPr>
      <w:r>
        <w:rPr>
          <w:rFonts w:hint="eastAsia" w:ascii="宋体" w:hAnsi="宋体"/>
          <w:color w:val="auto"/>
          <w:sz w:val="24"/>
          <w:highlight w:val="none"/>
        </w:rPr>
        <w:t>授权权限：全权代表本单位参与上述项目的</w:t>
      </w:r>
      <w:r>
        <w:rPr>
          <w:rFonts w:hint="eastAsia" w:ascii="宋体" w:hAnsi="宋体"/>
          <w:color w:val="auto"/>
          <w:sz w:val="24"/>
          <w:highlight w:val="none"/>
          <w:lang w:eastAsia="zh-CN"/>
        </w:rPr>
        <w:t>竞投</w:t>
      </w:r>
      <w:r>
        <w:rPr>
          <w:rFonts w:hint="eastAsia" w:ascii="宋体" w:hAnsi="宋体"/>
          <w:color w:val="auto"/>
          <w:sz w:val="24"/>
          <w:highlight w:val="none"/>
        </w:rPr>
        <w:t>、</w:t>
      </w:r>
      <w:r>
        <w:rPr>
          <w:rFonts w:hint="eastAsia" w:ascii="宋体" w:hAnsi="宋体" w:cs="宋体"/>
          <w:color w:val="auto"/>
          <w:sz w:val="24"/>
          <w:highlight w:val="none"/>
          <w:lang w:val="en-GB"/>
        </w:rPr>
        <w:t>递交</w:t>
      </w:r>
      <w:r>
        <w:rPr>
          <w:rFonts w:hint="eastAsia" w:ascii="宋体" w:hAnsi="宋体" w:cs="宋体"/>
          <w:color w:val="auto"/>
          <w:sz w:val="24"/>
          <w:highlight w:val="none"/>
          <w:lang w:val="en-GB" w:eastAsia="zh-CN"/>
        </w:rPr>
        <w:t>资格审查</w:t>
      </w:r>
      <w:r>
        <w:rPr>
          <w:rFonts w:hint="eastAsia" w:ascii="宋体" w:hAnsi="宋体" w:cs="宋体"/>
          <w:color w:val="auto"/>
          <w:sz w:val="24"/>
          <w:highlight w:val="none"/>
          <w:lang w:val="en-GB"/>
        </w:rPr>
        <w:t>文件、出席</w:t>
      </w:r>
      <w:r>
        <w:rPr>
          <w:rFonts w:hint="eastAsia" w:ascii="宋体" w:hAnsi="宋体" w:cs="宋体"/>
          <w:color w:val="auto"/>
          <w:sz w:val="24"/>
          <w:highlight w:val="none"/>
          <w:lang w:val="en-GB" w:eastAsia="zh-CN"/>
        </w:rPr>
        <w:t>竞投会</w:t>
      </w:r>
      <w:r>
        <w:rPr>
          <w:rFonts w:hint="eastAsia" w:ascii="宋体" w:hAnsi="宋体" w:cs="宋体"/>
          <w:color w:val="auto"/>
          <w:sz w:val="24"/>
          <w:highlight w:val="none"/>
          <w:lang w:val="en-GB"/>
        </w:rPr>
        <w:t>全程、</w:t>
      </w:r>
      <w:r>
        <w:rPr>
          <w:rFonts w:hint="eastAsia" w:ascii="宋体" w:hAnsi="宋体" w:cs="宋体"/>
          <w:color w:val="auto"/>
          <w:sz w:val="24"/>
          <w:highlight w:val="none"/>
          <w:lang w:val="en-GB" w:eastAsia="zh-CN"/>
        </w:rPr>
        <w:t>现场应价</w:t>
      </w:r>
      <w:r>
        <w:rPr>
          <w:rFonts w:hint="eastAsia" w:ascii="宋体" w:hAnsi="宋体" w:cs="宋体"/>
          <w:color w:val="auto"/>
          <w:sz w:val="24"/>
          <w:highlight w:val="none"/>
          <w:lang w:val="en-GB"/>
        </w:rPr>
        <w:t>；按照采</w:t>
      </w:r>
      <w:r>
        <w:rPr>
          <w:rFonts w:hint="eastAsia" w:ascii="宋体" w:hAnsi="宋体" w:cs="宋体"/>
          <w:color w:val="auto"/>
          <w:sz w:val="24"/>
          <w:highlight w:val="none"/>
          <w:lang w:val="en-GB" w:eastAsia="zh-CN"/>
        </w:rPr>
        <w:t>招标人</w:t>
      </w:r>
      <w:r>
        <w:rPr>
          <w:rFonts w:hint="eastAsia" w:ascii="宋体" w:hAnsi="宋体" w:cs="宋体"/>
          <w:color w:val="auto"/>
          <w:sz w:val="24"/>
          <w:highlight w:val="none"/>
          <w:lang w:val="en-GB"/>
        </w:rPr>
        <w:t>的要求现场处理</w:t>
      </w:r>
      <w:r>
        <w:rPr>
          <w:rFonts w:hint="eastAsia" w:ascii="宋体" w:hAnsi="宋体" w:cs="宋体"/>
          <w:color w:val="auto"/>
          <w:sz w:val="24"/>
          <w:highlight w:val="none"/>
          <w:lang w:val="en-GB" w:eastAsia="zh-CN"/>
        </w:rPr>
        <w:t>竞投</w:t>
      </w:r>
      <w:r>
        <w:rPr>
          <w:rFonts w:hint="eastAsia" w:ascii="宋体" w:hAnsi="宋体" w:cs="宋体"/>
          <w:color w:val="auto"/>
          <w:sz w:val="24"/>
          <w:highlight w:val="none"/>
          <w:lang w:val="en-GB"/>
        </w:rPr>
        <w:t>相关事宜；</w:t>
      </w:r>
      <w:r>
        <w:rPr>
          <w:rFonts w:hint="eastAsia" w:ascii="宋体" w:hAnsi="宋体"/>
          <w:color w:val="auto"/>
          <w:sz w:val="24"/>
          <w:highlight w:val="none"/>
        </w:rPr>
        <w:t>负责提供与签署确认一切文书资料，以及向贵方递交的任何补充承诺。</w:t>
      </w:r>
    </w:p>
    <w:p w14:paraId="167F18EE">
      <w:pPr>
        <w:spacing w:line="324" w:lineRule="auto"/>
        <w:ind w:firstLine="480" w:firstLineChars="200"/>
        <w:jc w:val="left"/>
        <w:rPr>
          <w:rFonts w:ascii="宋体"/>
          <w:color w:val="auto"/>
          <w:sz w:val="24"/>
          <w:highlight w:val="none"/>
        </w:rPr>
      </w:pPr>
      <w:r>
        <w:rPr>
          <w:rFonts w:hint="eastAsia" w:ascii="宋体" w:hAnsi="宋体"/>
          <w:color w:val="auto"/>
          <w:sz w:val="24"/>
          <w:highlight w:val="none"/>
        </w:rPr>
        <w:t>有效期限：与本项目</w:t>
      </w:r>
      <w:r>
        <w:rPr>
          <w:rFonts w:hint="eastAsia" w:ascii="宋体" w:hAnsi="宋体"/>
          <w:color w:val="auto"/>
          <w:sz w:val="24"/>
          <w:highlight w:val="none"/>
          <w:lang w:eastAsia="zh-CN"/>
        </w:rPr>
        <w:t>竞投文件</w:t>
      </w:r>
      <w:r>
        <w:rPr>
          <w:rFonts w:hint="eastAsia" w:ascii="宋体" w:hAnsi="宋体"/>
          <w:color w:val="auto"/>
          <w:sz w:val="24"/>
          <w:highlight w:val="none"/>
        </w:rPr>
        <w:t>要求的</w:t>
      </w:r>
      <w:r>
        <w:rPr>
          <w:rFonts w:hint="eastAsia" w:ascii="宋体" w:hAnsi="宋体"/>
          <w:color w:val="auto"/>
          <w:sz w:val="24"/>
          <w:highlight w:val="none"/>
          <w:lang w:eastAsia="zh-CN"/>
        </w:rPr>
        <w:t>投标有效期</w:t>
      </w:r>
      <w:r>
        <w:rPr>
          <w:rFonts w:hint="eastAsia" w:ascii="宋体" w:hAnsi="宋体"/>
          <w:color w:val="auto"/>
          <w:sz w:val="24"/>
          <w:highlight w:val="none"/>
        </w:rPr>
        <w:t>相同，自本单位盖章之日起生效。</w:t>
      </w:r>
    </w:p>
    <w:p w14:paraId="0DFEDEB1">
      <w:pPr>
        <w:spacing w:after="120" w:afterLines="50" w:line="324" w:lineRule="auto"/>
        <w:ind w:firstLine="480" w:firstLineChars="200"/>
        <w:jc w:val="left"/>
        <w:rPr>
          <w:rFonts w:ascii="宋体"/>
          <w:color w:val="auto"/>
          <w:sz w:val="24"/>
          <w:highlight w:val="none"/>
        </w:rPr>
      </w:pPr>
      <w:r>
        <w:rPr>
          <w:rFonts w:hint="eastAsia" w:ascii="宋体" w:hAnsi="宋体"/>
          <w:color w:val="auto"/>
          <w:sz w:val="24"/>
          <w:highlight w:val="none"/>
        </w:rPr>
        <w:t>特此授权证明。</w:t>
      </w:r>
    </w:p>
    <w:p w14:paraId="1AC8AC5A">
      <w:pPr>
        <w:spacing w:line="336" w:lineRule="auto"/>
        <w:ind w:firstLine="480" w:firstLineChars="200"/>
        <w:rPr>
          <w:rFonts w:ascii="黑体" w:eastAsia="黑体"/>
          <w:color w:val="auto"/>
          <w:sz w:val="24"/>
          <w:highlight w:val="none"/>
          <w:lang w:val="en-GB"/>
        </w:rPr>
      </w:pPr>
      <w:r>
        <w:rPr>
          <w:rFonts w:hint="eastAsia" w:ascii="黑体" w:eastAsia="黑体"/>
          <w:color w:val="auto"/>
          <w:sz w:val="24"/>
          <w:highlight w:val="none"/>
          <w:lang w:val="en-GB" w:eastAsia="zh-CN"/>
        </w:rPr>
        <w:t>投标人</w:t>
      </w:r>
      <w:r>
        <w:rPr>
          <w:rFonts w:hint="eastAsia" w:ascii="黑体" w:eastAsia="黑体"/>
          <w:color w:val="auto"/>
          <w:sz w:val="24"/>
          <w:highlight w:val="none"/>
          <w:lang w:val="en-GB"/>
        </w:rPr>
        <w:t>名称：</w:t>
      </w:r>
      <w:r>
        <w:rPr>
          <w:rFonts w:hint="eastAsia" w:ascii="黑体" w:eastAsia="黑体"/>
          <w:color w:val="auto"/>
          <w:sz w:val="24"/>
          <w:highlight w:val="none"/>
          <w:u w:val="dotted"/>
          <w:lang w:val="en-GB"/>
        </w:rPr>
        <w:t>（全称）</w:t>
      </w:r>
      <w:r>
        <w:rPr>
          <w:rFonts w:hint="eastAsia" w:ascii="黑体" w:eastAsia="黑体"/>
          <w:color w:val="auto"/>
          <w:sz w:val="24"/>
          <w:highlight w:val="none"/>
          <w:lang w:val="en-GB"/>
        </w:rPr>
        <w:t>（加盖</w:t>
      </w:r>
      <w:r>
        <w:rPr>
          <w:rFonts w:hint="eastAsia" w:ascii="黑体" w:eastAsia="黑体"/>
          <w:color w:val="auto"/>
          <w:sz w:val="24"/>
          <w:highlight w:val="none"/>
          <w:lang w:val="en-GB" w:eastAsia="zh-CN"/>
        </w:rPr>
        <w:t>投标人</w:t>
      </w:r>
      <w:r>
        <w:rPr>
          <w:rFonts w:hint="eastAsia" w:ascii="黑体" w:eastAsia="黑体"/>
          <w:color w:val="auto"/>
          <w:sz w:val="24"/>
          <w:highlight w:val="none"/>
          <w:lang w:val="en-GB"/>
        </w:rPr>
        <w:t>公章）</w:t>
      </w:r>
    </w:p>
    <w:p w14:paraId="756A0E59">
      <w:pPr>
        <w:spacing w:line="336" w:lineRule="auto"/>
        <w:ind w:firstLine="480" w:firstLineChars="200"/>
        <w:rPr>
          <w:rFonts w:ascii="黑体" w:eastAsia="黑体"/>
          <w:color w:val="auto"/>
          <w:sz w:val="24"/>
          <w:highlight w:val="none"/>
          <w:lang w:val="en-GB"/>
        </w:rPr>
      </w:pPr>
      <w:r>
        <w:rPr>
          <w:rFonts w:hint="eastAsia" w:ascii="黑体" w:eastAsia="黑体"/>
          <w:color w:val="auto"/>
          <w:sz w:val="24"/>
          <w:highlight w:val="none"/>
          <w:lang w:val="en-GB"/>
        </w:rPr>
        <w:t>法定代表人（或负责人）：（亲笔签名或签章）</w:t>
      </w:r>
    </w:p>
    <w:p w14:paraId="04EC48C3">
      <w:pPr>
        <w:spacing w:line="336" w:lineRule="auto"/>
        <w:ind w:firstLine="480" w:firstLineChars="200"/>
        <w:rPr>
          <w:rFonts w:ascii="黑体" w:eastAsia="黑体"/>
          <w:color w:val="auto"/>
          <w:sz w:val="24"/>
          <w:highlight w:val="none"/>
          <w:lang w:val="en-GB"/>
        </w:rPr>
      </w:pPr>
      <w:r>
        <w:rPr>
          <w:rFonts w:hint="eastAsia" w:ascii="黑体" w:eastAsia="黑体"/>
          <w:color w:val="auto"/>
          <w:sz w:val="24"/>
          <w:highlight w:val="none"/>
          <w:lang w:val="en-GB"/>
        </w:rPr>
        <w:t>委任授权代表：（亲笔签名或签章）</w:t>
      </w:r>
    </w:p>
    <w:p w14:paraId="298374B4">
      <w:pPr>
        <w:spacing w:line="336" w:lineRule="auto"/>
        <w:ind w:firstLine="480" w:firstLineChars="200"/>
        <w:rPr>
          <w:rFonts w:ascii="黑体" w:eastAsia="黑体"/>
          <w:color w:val="auto"/>
          <w:sz w:val="24"/>
          <w:highlight w:val="none"/>
          <w:lang w:val="en-GB"/>
        </w:rPr>
      </w:pPr>
      <w:r>
        <w:rPr>
          <w:rFonts w:hint="eastAsia" w:ascii="黑体" w:eastAsia="黑体"/>
          <w:color w:val="auto"/>
          <w:sz w:val="24"/>
          <w:highlight w:val="none"/>
          <w:lang w:val="en-GB"/>
        </w:rPr>
        <w:t>生效日期：</w:t>
      </w:r>
      <w:r>
        <w:rPr>
          <w:rFonts w:hint="eastAsia" w:ascii="黑体" w:eastAsia="黑体"/>
          <w:color w:val="auto"/>
          <w:sz w:val="24"/>
          <w:highlight w:val="none"/>
          <w:lang w:val="en-GB" w:eastAsia="zh-CN"/>
        </w:rPr>
        <w:t>2024年</w:t>
      </w:r>
      <w:r>
        <w:rPr>
          <w:rFonts w:hint="eastAsia" w:ascii="黑体" w:eastAsia="黑体"/>
          <w:color w:val="auto"/>
          <w:sz w:val="24"/>
          <w:highlight w:val="none"/>
          <w:lang w:val="en-GB"/>
        </w:rPr>
        <w:t>月日。</w:t>
      </w:r>
    </w:p>
    <w:p w14:paraId="6C870B2B">
      <w:pPr>
        <w:spacing w:line="264" w:lineRule="auto"/>
        <w:ind w:left="420" w:leftChars="200" w:right="363" w:rightChars="173"/>
        <w:rPr>
          <w:rFonts w:hint="eastAsia" w:asciiTheme="minorEastAsia" w:hAnsiTheme="minorEastAsia" w:eastAsiaTheme="minorEastAsia" w:cstheme="minorEastAsia"/>
          <w:color w:val="auto"/>
          <w:sz w:val="24"/>
          <w:szCs w:val="24"/>
          <w:highlight w:val="none"/>
          <w:lang w:val="en-GB"/>
        </w:rPr>
      </w:pPr>
      <w:r>
        <w:rPr>
          <w:rFonts w:hint="eastAsia" w:asciiTheme="minorEastAsia" w:hAnsiTheme="minorEastAsia" w:eastAsiaTheme="minorEastAsia" w:cstheme="minorEastAsia"/>
          <w:color w:val="auto"/>
          <w:sz w:val="24"/>
          <w:szCs w:val="24"/>
          <w:highlight w:val="none"/>
          <w:lang w:val="en-GB"/>
        </w:rPr>
        <w:t>说明：</w:t>
      </w:r>
    </w:p>
    <w:p w14:paraId="4F413A11">
      <w:pPr>
        <w:spacing w:line="264" w:lineRule="auto"/>
        <w:ind w:left="780" w:leftChars="200" w:right="363" w:rightChars="173" w:hanging="360" w:hangingChars="150"/>
        <w:rPr>
          <w:rFonts w:hint="eastAsia" w:asciiTheme="minorEastAsia" w:hAnsiTheme="minorEastAsia" w:eastAsiaTheme="minorEastAsia" w:cstheme="minorEastAsia"/>
          <w:color w:val="auto"/>
          <w:sz w:val="24"/>
          <w:szCs w:val="24"/>
          <w:highlight w:val="none"/>
          <w:lang w:val="en-GB"/>
        </w:rPr>
      </w:pPr>
      <w:r>
        <w:rPr>
          <w:rFonts w:hint="eastAsia" w:asciiTheme="minorEastAsia" w:hAnsiTheme="minorEastAsia" w:eastAsiaTheme="minorEastAsia" w:cstheme="minorEastAsia"/>
          <w:color w:val="auto"/>
          <w:sz w:val="24"/>
          <w:szCs w:val="24"/>
          <w:highlight w:val="none"/>
          <w:lang w:val="en-GB"/>
        </w:rPr>
        <w:t>1、</w:t>
      </w:r>
      <w:r>
        <w:rPr>
          <w:rFonts w:hint="eastAsia" w:asciiTheme="minorEastAsia" w:hAnsiTheme="minorEastAsia" w:eastAsiaTheme="minorEastAsia" w:cstheme="minorEastAsia"/>
          <w:color w:val="auto"/>
          <w:sz w:val="24"/>
          <w:szCs w:val="24"/>
          <w:highlight w:val="none"/>
          <w:u w:val="single"/>
          <w:lang w:val="en-GB"/>
        </w:rPr>
        <w:t>法定代表人</w:t>
      </w:r>
      <w:r>
        <w:rPr>
          <w:rFonts w:hint="eastAsia" w:asciiTheme="minorEastAsia" w:hAnsiTheme="minorEastAsia" w:eastAsiaTheme="minorEastAsia" w:cstheme="minorEastAsia"/>
          <w:color w:val="auto"/>
          <w:sz w:val="24"/>
          <w:szCs w:val="24"/>
          <w:highlight w:val="none"/>
          <w:u w:val="single"/>
        </w:rPr>
        <w:t>/负责人</w:t>
      </w:r>
      <w:r>
        <w:rPr>
          <w:rFonts w:hint="eastAsia" w:asciiTheme="minorEastAsia" w:hAnsiTheme="minorEastAsia" w:eastAsiaTheme="minorEastAsia" w:cstheme="minorEastAsia"/>
          <w:color w:val="auto"/>
          <w:sz w:val="24"/>
          <w:szCs w:val="24"/>
          <w:highlight w:val="none"/>
          <w:u w:val="single"/>
          <w:lang w:val="en-GB"/>
        </w:rPr>
        <w:t>或授权代表人在递交</w:t>
      </w:r>
      <w:r>
        <w:rPr>
          <w:rFonts w:hint="eastAsia" w:asciiTheme="minorEastAsia" w:hAnsiTheme="minorEastAsia" w:eastAsiaTheme="minorEastAsia" w:cstheme="minorEastAsia"/>
          <w:color w:val="auto"/>
          <w:sz w:val="24"/>
          <w:szCs w:val="24"/>
          <w:highlight w:val="none"/>
          <w:u w:val="single"/>
          <w:lang w:val="en-GB" w:eastAsia="zh-CN"/>
        </w:rPr>
        <w:t>竞投</w:t>
      </w:r>
      <w:r>
        <w:rPr>
          <w:rFonts w:hint="eastAsia" w:asciiTheme="minorEastAsia" w:hAnsiTheme="minorEastAsia" w:eastAsiaTheme="minorEastAsia" w:cstheme="minorEastAsia"/>
          <w:color w:val="auto"/>
          <w:sz w:val="24"/>
          <w:szCs w:val="24"/>
          <w:highlight w:val="none"/>
          <w:u w:val="single"/>
          <w:lang w:val="en-GB"/>
        </w:rPr>
        <w:t>文件时，须向</w:t>
      </w:r>
      <w:r>
        <w:rPr>
          <w:rFonts w:hint="eastAsia" w:asciiTheme="minorEastAsia" w:hAnsiTheme="minorEastAsia" w:eastAsiaTheme="minorEastAsia" w:cstheme="minorEastAsia"/>
          <w:color w:val="auto"/>
          <w:sz w:val="24"/>
          <w:szCs w:val="24"/>
          <w:highlight w:val="none"/>
          <w:u w:val="single"/>
          <w:lang w:val="en-GB" w:eastAsia="zh-CN"/>
        </w:rPr>
        <w:t>招标代理机构</w:t>
      </w:r>
      <w:r>
        <w:rPr>
          <w:rFonts w:hint="eastAsia" w:asciiTheme="minorEastAsia" w:hAnsiTheme="minorEastAsia" w:eastAsiaTheme="minorEastAsia" w:cstheme="minorEastAsia"/>
          <w:color w:val="auto"/>
          <w:sz w:val="24"/>
          <w:szCs w:val="24"/>
          <w:highlight w:val="none"/>
          <w:u w:val="single"/>
          <w:lang w:val="en-GB"/>
        </w:rPr>
        <w:t>人员出示此份证明书的原件，否则，</w:t>
      </w:r>
      <w:r>
        <w:rPr>
          <w:rFonts w:hint="eastAsia" w:asciiTheme="minorEastAsia" w:hAnsiTheme="minorEastAsia" w:eastAsiaTheme="minorEastAsia" w:cstheme="minorEastAsia"/>
          <w:color w:val="auto"/>
          <w:sz w:val="24"/>
          <w:szCs w:val="24"/>
          <w:highlight w:val="none"/>
          <w:u w:val="single"/>
          <w:lang w:val="en-GB" w:eastAsia="zh-CN"/>
        </w:rPr>
        <w:t>招标代理机构</w:t>
      </w:r>
      <w:r>
        <w:rPr>
          <w:rFonts w:hint="eastAsia" w:asciiTheme="minorEastAsia" w:hAnsiTheme="minorEastAsia" w:eastAsiaTheme="minorEastAsia" w:cstheme="minorEastAsia"/>
          <w:color w:val="auto"/>
          <w:sz w:val="24"/>
          <w:szCs w:val="24"/>
          <w:highlight w:val="none"/>
          <w:u w:val="single"/>
          <w:lang w:val="en-GB"/>
        </w:rPr>
        <w:t>将</w:t>
      </w:r>
      <w:r>
        <w:rPr>
          <w:rFonts w:hint="eastAsia" w:asciiTheme="minorEastAsia" w:hAnsiTheme="minorEastAsia" w:eastAsiaTheme="minorEastAsia" w:cstheme="minorEastAsia"/>
          <w:color w:val="auto"/>
          <w:sz w:val="24"/>
          <w:szCs w:val="24"/>
          <w:highlight w:val="none"/>
          <w:u w:val="single"/>
        </w:rPr>
        <w:t>有权</w:t>
      </w:r>
      <w:r>
        <w:rPr>
          <w:rFonts w:hint="eastAsia" w:asciiTheme="minorEastAsia" w:hAnsiTheme="minorEastAsia" w:eastAsiaTheme="minorEastAsia" w:cstheme="minorEastAsia"/>
          <w:color w:val="auto"/>
          <w:sz w:val="24"/>
          <w:szCs w:val="24"/>
          <w:highlight w:val="none"/>
          <w:u w:val="single"/>
          <w:lang w:val="en-GB"/>
        </w:rPr>
        <w:t>拒收其</w:t>
      </w:r>
      <w:r>
        <w:rPr>
          <w:rFonts w:hint="eastAsia" w:asciiTheme="minorEastAsia" w:hAnsiTheme="minorEastAsia" w:eastAsiaTheme="minorEastAsia" w:cstheme="minorEastAsia"/>
          <w:color w:val="auto"/>
          <w:sz w:val="24"/>
          <w:szCs w:val="24"/>
          <w:highlight w:val="none"/>
          <w:u w:val="single"/>
          <w:lang w:val="en-GB" w:eastAsia="zh-CN"/>
        </w:rPr>
        <w:t>资格审查</w:t>
      </w:r>
      <w:r>
        <w:rPr>
          <w:rFonts w:hint="eastAsia" w:asciiTheme="minorEastAsia" w:hAnsiTheme="minorEastAsia" w:eastAsiaTheme="minorEastAsia" w:cstheme="minorEastAsia"/>
          <w:color w:val="auto"/>
          <w:sz w:val="24"/>
          <w:szCs w:val="24"/>
          <w:highlight w:val="none"/>
          <w:u w:val="single"/>
          <w:lang w:val="en-GB"/>
        </w:rPr>
        <w:t>文件。</w:t>
      </w:r>
    </w:p>
    <w:p w14:paraId="6438D250">
      <w:pPr>
        <w:spacing w:line="264" w:lineRule="auto"/>
        <w:ind w:left="780" w:leftChars="200" w:hanging="360" w:hangingChars="150"/>
        <w:rPr>
          <w:rFonts w:hint="eastAsia" w:asciiTheme="minorEastAsia" w:hAnsiTheme="minorEastAsia" w:eastAsiaTheme="minorEastAsia" w:cstheme="minorEastAsia"/>
          <w:color w:val="auto"/>
          <w:sz w:val="24"/>
          <w:szCs w:val="24"/>
          <w:highlight w:val="none"/>
          <w:lang w:val="en-GB"/>
        </w:rPr>
      </w:pPr>
      <w:r>
        <w:rPr>
          <w:rFonts w:hint="eastAsia" w:asciiTheme="minorEastAsia" w:hAnsiTheme="minorEastAsia" w:eastAsiaTheme="minorEastAsia" w:cstheme="minorEastAsia"/>
          <w:color w:val="auto"/>
          <w:sz w:val="24"/>
          <w:szCs w:val="24"/>
          <w:highlight w:val="none"/>
          <w:lang w:val="en-GB"/>
        </w:rPr>
        <w:t>2、本授权书内容不得擅自删改。如法定代表人（或负责人）亲临现场参与</w:t>
      </w:r>
      <w:r>
        <w:rPr>
          <w:rFonts w:hint="eastAsia" w:asciiTheme="minorEastAsia" w:hAnsiTheme="minorEastAsia" w:eastAsiaTheme="minorEastAsia" w:cstheme="minorEastAsia"/>
          <w:color w:val="auto"/>
          <w:sz w:val="24"/>
          <w:szCs w:val="24"/>
          <w:highlight w:val="none"/>
          <w:lang w:val="en-GB" w:eastAsia="zh-CN"/>
        </w:rPr>
        <w:t>竞投</w:t>
      </w:r>
      <w:r>
        <w:rPr>
          <w:rFonts w:hint="eastAsia" w:asciiTheme="minorEastAsia" w:hAnsiTheme="minorEastAsia" w:eastAsiaTheme="minorEastAsia" w:cstheme="minorEastAsia"/>
          <w:color w:val="auto"/>
          <w:sz w:val="24"/>
          <w:szCs w:val="24"/>
          <w:highlight w:val="none"/>
          <w:lang w:val="en-GB"/>
        </w:rPr>
        <w:t>、决策、签字的，则不需此函。</w:t>
      </w:r>
    </w:p>
    <w:p w14:paraId="2562068C">
      <w:pPr>
        <w:rPr>
          <w:b/>
          <w:color w:val="auto"/>
          <w:highlight w:val="none"/>
          <w:lang w:val="en-GB"/>
        </w:rPr>
      </w:pPr>
      <w:r>
        <w:rPr>
          <w:rFonts w:hint="eastAsia"/>
          <w:b/>
          <w:color w:val="auto"/>
          <w:highlight w:val="none"/>
          <w:lang w:val="en-GB"/>
        </w:rPr>
        <w:t>附：被授权人的身份证复印件：</w:t>
      </w:r>
    </w:p>
    <w:tbl>
      <w:tblPr>
        <w:tblStyle w:val="20"/>
        <w:tblW w:w="939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396"/>
      </w:tblGrid>
      <w:tr w14:paraId="6AA611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94" w:hRule="atLeast"/>
        </w:trPr>
        <w:tc>
          <w:tcPr>
            <w:tcW w:w="9396" w:type="dxa"/>
            <w:noWrap w:val="0"/>
            <w:vAlign w:val="center"/>
          </w:tcPr>
          <w:p w14:paraId="58C9AD77">
            <w:pPr>
              <w:spacing w:line="300" w:lineRule="auto"/>
              <w:jc w:val="center"/>
              <w:rPr>
                <w:rFonts w:hAnsi="宋体"/>
                <w:color w:val="auto"/>
                <w:sz w:val="24"/>
                <w:highlight w:val="none"/>
              </w:rPr>
            </w:pPr>
            <w:r>
              <w:rPr>
                <w:rFonts w:hint="eastAsia" w:hAnsi="宋体"/>
                <w:color w:val="auto"/>
                <w:sz w:val="24"/>
                <w:highlight w:val="none"/>
              </w:rPr>
              <w:t>此处粘贴授权代表（被授权人）的身份证复印件（双面）</w:t>
            </w:r>
          </w:p>
          <w:p w14:paraId="6A72F1CB">
            <w:pPr>
              <w:spacing w:line="300" w:lineRule="auto"/>
              <w:jc w:val="center"/>
              <w:rPr>
                <w:rFonts w:hAnsi="宋体"/>
                <w:color w:val="auto"/>
                <w:sz w:val="24"/>
                <w:highlight w:val="none"/>
              </w:rPr>
            </w:pPr>
            <w:r>
              <w:rPr>
                <w:rFonts w:hint="eastAsia" w:hAnsi="宋体"/>
                <w:color w:val="auto"/>
                <w:sz w:val="24"/>
                <w:highlight w:val="none"/>
              </w:rPr>
              <w:t>或直接扫描到此张纸上</w:t>
            </w:r>
          </w:p>
          <w:p w14:paraId="567635F0">
            <w:pPr>
              <w:spacing w:line="300" w:lineRule="auto"/>
              <w:jc w:val="center"/>
              <w:rPr>
                <w:rFonts w:ascii="宋体"/>
                <w:color w:val="auto"/>
                <w:sz w:val="24"/>
                <w:highlight w:val="none"/>
              </w:rPr>
            </w:pPr>
            <w:r>
              <w:rPr>
                <w:rFonts w:hint="eastAsia" w:hAnsi="宋体"/>
                <w:color w:val="auto"/>
                <w:sz w:val="24"/>
                <w:highlight w:val="none"/>
              </w:rPr>
              <w:t>注：若页面不够位置的，可另行附页，但须紧接此页。</w:t>
            </w:r>
          </w:p>
        </w:tc>
      </w:tr>
    </w:tbl>
    <w:p w14:paraId="33EC564A">
      <w:pPr>
        <w:pStyle w:val="8"/>
        <w:spacing w:after="0" w:line="240" w:lineRule="exact"/>
        <w:ind w:firstLine="480" w:firstLineChars="200"/>
        <w:rPr>
          <w:color w:val="auto"/>
          <w:sz w:val="24"/>
          <w:szCs w:val="24"/>
          <w:highlight w:val="none"/>
        </w:rPr>
      </w:pPr>
      <w:r>
        <w:rPr>
          <w:color w:val="auto"/>
          <w:sz w:val="24"/>
          <w:szCs w:val="24"/>
          <w:highlight w:val="none"/>
        </w:rPr>
        <w:br w:type="page"/>
      </w:r>
    </w:p>
    <w:p w14:paraId="6EBD01BD">
      <w:pPr>
        <w:spacing w:after="120" w:afterLines="50" w:line="240" w:lineRule="auto"/>
        <w:jc w:val="center"/>
        <w:outlineLvl w:val="2"/>
        <w:rPr>
          <w:rFonts w:hint="eastAsia" w:ascii="宋体" w:hAnsi="宋体"/>
          <w:b/>
          <w:color w:val="auto"/>
          <w:sz w:val="36"/>
          <w:szCs w:val="36"/>
          <w:highlight w:val="none"/>
        </w:rPr>
      </w:pPr>
      <w:bookmarkStart w:id="109" w:name="_Toc71"/>
      <w:bookmarkStart w:id="110" w:name="_Toc22881"/>
      <w:bookmarkStart w:id="111" w:name="_Toc13163"/>
      <w:bookmarkStart w:id="112" w:name="_Toc19084"/>
      <w:bookmarkStart w:id="113" w:name="_Toc16371"/>
      <w:bookmarkStart w:id="114" w:name="_Toc16930"/>
      <w:bookmarkStart w:id="115" w:name="_Toc10658"/>
      <w:bookmarkStart w:id="116" w:name="_Toc31397"/>
      <w:r>
        <w:rPr>
          <w:rFonts w:ascii="宋体" w:hAnsi="宋体"/>
          <w:b/>
          <w:color w:val="auto"/>
          <w:sz w:val="36"/>
          <w:szCs w:val="36"/>
          <w:highlight w:val="none"/>
        </w:rPr>
        <w:t>1.3</w:t>
      </w:r>
      <w:r>
        <w:rPr>
          <w:rFonts w:hint="eastAsia" w:ascii="宋体" w:hAnsi="宋体"/>
          <w:b/>
          <w:color w:val="auto"/>
          <w:sz w:val="36"/>
          <w:szCs w:val="36"/>
          <w:highlight w:val="none"/>
          <w:lang w:eastAsia="zh-CN"/>
        </w:rPr>
        <w:t>竞投</w:t>
      </w:r>
      <w:r>
        <w:rPr>
          <w:rFonts w:hint="eastAsia" w:ascii="宋体" w:hAnsi="宋体"/>
          <w:b/>
          <w:color w:val="auto"/>
          <w:sz w:val="36"/>
          <w:szCs w:val="36"/>
          <w:highlight w:val="none"/>
        </w:rPr>
        <w:t>承诺函</w:t>
      </w:r>
      <w:bookmarkEnd w:id="109"/>
      <w:bookmarkEnd w:id="110"/>
      <w:bookmarkEnd w:id="111"/>
      <w:bookmarkEnd w:id="112"/>
      <w:bookmarkEnd w:id="113"/>
      <w:bookmarkEnd w:id="114"/>
      <w:bookmarkEnd w:id="115"/>
      <w:bookmarkEnd w:id="116"/>
    </w:p>
    <w:p w14:paraId="46F9D4EE">
      <w:pPr>
        <w:keepNext w:val="0"/>
        <w:keepLines w:val="0"/>
        <w:pageBreakBefore w:val="0"/>
        <w:kinsoku/>
        <w:wordWrap/>
        <w:overflowPunct/>
        <w:topLinePunct w:val="0"/>
        <w:autoSpaceDE/>
        <w:autoSpaceDN/>
        <w:bidi w:val="0"/>
        <w:adjustRightInd/>
        <w:snapToGrid/>
        <w:spacing w:after="72" w:afterLines="30" w:line="440" w:lineRule="exact"/>
        <w:textAlignment w:val="auto"/>
        <w:rPr>
          <w:rFonts w:hint="eastAsia" w:ascii="宋体" w:hAnsi="宋体" w:eastAsia="宋体" w:cs="宋体"/>
          <w:b/>
          <w:color w:val="auto"/>
          <w:sz w:val="24"/>
          <w:szCs w:val="24"/>
          <w:highlight w:val="none"/>
          <w:lang w:eastAsia="zh-CN"/>
        </w:rPr>
      </w:pPr>
      <w:r>
        <w:rPr>
          <w:rFonts w:hint="eastAsia" w:ascii="宋体" w:hAnsi="宋体" w:eastAsia="宋体" w:cs="宋体"/>
          <w:b/>
          <w:color w:val="auto"/>
          <w:sz w:val="24"/>
          <w:szCs w:val="24"/>
          <w:highlight w:val="none"/>
        </w:rPr>
        <w:t>致：</w:t>
      </w:r>
      <w:r>
        <w:rPr>
          <w:rFonts w:hint="eastAsia" w:ascii="宋体" w:hAnsi="宋体" w:cs="宋体"/>
          <w:b/>
          <w:color w:val="auto"/>
          <w:sz w:val="24"/>
          <w:szCs w:val="24"/>
          <w:highlight w:val="none"/>
          <w:lang w:eastAsia="zh-CN"/>
        </w:rPr>
        <w:t>佛山市禅城区南庄镇吉利村邓岗经济合作社</w:t>
      </w:r>
      <w:r>
        <w:rPr>
          <w:rFonts w:hint="eastAsia" w:ascii="宋体" w:hAnsi="宋体" w:eastAsia="宋体" w:cs="宋体"/>
          <w:b/>
          <w:color w:val="auto"/>
          <w:sz w:val="24"/>
          <w:szCs w:val="24"/>
          <w:highlight w:val="none"/>
        </w:rPr>
        <w:t>、</w:t>
      </w:r>
      <w:r>
        <w:rPr>
          <w:rFonts w:hint="eastAsia" w:ascii="宋体" w:hAnsi="宋体" w:cs="宋体"/>
          <w:b/>
          <w:color w:val="auto"/>
          <w:sz w:val="24"/>
          <w:szCs w:val="24"/>
          <w:highlight w:val="none"/>
          <w:lang w:eastAsia="zh-CN"/>
        </w:rPr>
        <w:t>广东中采招标有限公司</w:t>
      </w:r>
    </w:p>
    <w:p w14:paraId="4AFA39FE">
      <w:pPr>
        <w:keepNext w:val="0"/>
        <w:keepLines w:val="0"/>
        <w:pageBreakBefore w:val="0"/>
        <w:kinsoku/>
        <w:wordWrap/>
        <w:overflowPunct/>
        <w:topLinePunct w:val="0"/>
        <w:autoSpaceDE/>
        <w:autoSpaceDN/>
        <w:bidi w:val="0"/>
        <w:adjustRightInd/>
        <w:snapToGrid/>
        <w:spacing w:line="440" w:lineRule="exact"/>
        <w:ind w:firstLine="42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我方根据《</w:t>
      </w:r>
      <w:r>
        <w:rPr>
          <w:rFonts w:hint="eastAsia" w:ascii="宋体" w:hAnsi="宋体" w:eastAsia="宋体" w:cs="宋体"/>
          <w:color w:val="auto"/>
          <w:sz w:val="24"/>
          <w:szCs w:val="24"/>
          <w:highlight w:val="none"/>
          <w:lang w:eastAsia="zh-CN"/>
        </w:rPr>
        <w:t>竞投文件</w:t>
      </w:r>
      <w:r>
        <w:rPr>
          <w:rFonts w:hint="eastAsia" w:ascii="宋体" w:hAnsi="宋体" w:eastAsia="宋体" w:cs="宋体"/>
          <w:color w:val="auto"/>
          <w:sz w:val="24"/>
          <w:szCs w:val="24"/>
          <w:highlight w:val="none"/>
        </w:rPr>
        <w:t>》的要求，通过委任的全权代表，向贵方递交密封册装的全套</w:t>
      </w:r>
      <w:r>
        <w:rPr>
          <w:rFonts w:hint="eastAsia" w:ascii="宋体" w:hAnsi="宋体" w:eastAsia="宋体" w:cs="宋体"/>
          <w:color w:val="auto"/>
          <w:sz w:val="24"/>
          <w:szCs w:val="24"/>
          <w:highlight w:val="none"/>
          <w:lang w:eastAsia="zh-CN"/>
        </w:rPr>
        <w:t>资格审查</w:t>
      </w:r>
      <w:r>
        <w:rPr>
          <w:rFonts w:hint="eastAsia" w:ascii="宋体" w:hAnsi="宋体" w:eastAsia="宋体" w:cs="宋体"/>
          <w:color w:val="auto"/>
          <w:sz w:val="24"/>
          <w:szCs w:val="24"/>
          <w:highlight w:val="none"/>
        </w:rPr>
        <w:t>文件参与下列项目的</w:t>
      </w:r>
      <w:r>
        <w:rPr>
          <w:rFonts w:hint="eastAsia" w:ascii="宋体" w:hAnsi="宋体" w:eastAsia="宋体" w:cs="宋体"/>
          <w:color w:val="auto"/>
          <w:sz w:val="24"/>
          <w:szCs w:val="24"/>
          <w:highlight w:val="none"/>
          <w:lang w:eastAsia="zh-CN"/>
        </w:rPr>
        <w:t>竞投</w:t>
      </w:r>
      <w:r>
        <w:rPr>
          <w:rFonts w:hint="eastAsia" w:ascii="宋体" w:hAnsi="宋体" w:eastAsia="宋体" w:cs="宋体"/>
          <w:color w:val="auto"/>
          <w:sz w:val="24"/>
          <w:szCs w:val="24"/>
          <w:highlight w:val="none"/>
        </w:rPr>
        <w:t>，现为我方的一切</w:t>
      </w:r>
      <w:r>
        <w:rPr>
          <w:rFonts w:hint="eastAsia" w:ascii="宋体" w:hAnsi="宋体" w:eastAsia="宋体" w:cs="宋体"/>
          <w:color w:val="auto"/>
          <w:sz w:val="24"/>
          <w:szCs w:val="24"/>
          <w:highlight w:val="none"/>
          <w:lang w:eastAsia="zh-CN"/>
        </w:rPr>
        <w:t>竞投</w:t>
      </w:r>
      <w:r>
        <w:rPr>
          <w:rFonts w:hint="eastAsia" w:ascii="宋体" w:hAnsi="宋体" w:eastAsia="宋体" w:cs="宋体"/>
          <w:color w:val="auto"/>
          <w:sz w:val="24"/>
          <w:szCs w:val="24"/>
          <w:highlight w:val="none"/>
        </w:rPr>
        <w:t>行为作</w:t>
      </w:r>
      <w:r>
        <w:rPr>
          <w:rFonts w:hint="eastAsia" w:ascii="宋体" w:hAnsi="宋体" w:eastAsia="宋体" w:cs="宋体"/>
          <w:bCs/>
          <w:color w:val="auto"/>
          <w:sz w:val="24"/>
          <w:szCs w:val="24"/>
          <w:highlight w:val="none"/>
        </w:rPr>
        <w:t>郑重承诺及声明如下：</w:t>
      </w:r>
    </w:p>
    <w:p w14:paraId="5FD8C7B3">
      <w:pPr>
        <w:keepNext w:val="0"/>
        <w:keepLines w:val="0"/>
        <w:pageBreakBefore w:val="0"/>
        <w:numPr>
          <w:ilvl w:val="0"/>
          <w:numId w:val="45"/>
        </w:numPr>
        <w:tabs>
          <w:tab w:val="clear" w:pos="420"/>
        </w:tabs>
        <w:kinsoku/>
        <w:wordWrap/>
        <w:overflowPunct/>
        <w:topLinePunct w:val="0"/>
        <w:autoSpaceDE/>
        <w:autoSpaceDN/>
        <w:bidi w:val="0"/>
        <w:adjustRightInd/>
        <w:snapToGrid/>
        <w:spacing w:line="440" w:lineRule="exact"/>
        <w:ind w:left="420" w:leftChars="0" w:hanging="420" w:hangingChars="175"/>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项目名称：</w:t>
      </w:r>
      <w:r>
        <w:rPr>
          <w:rFonts w:hint="eastAsia" w:ascii="宋体" w:hAnsi="宋体" w:cs="宋体"/>
          <w:color w:val="auto"/>
          <w:sz w:val="24"/>
          <w:szCs w:val="24"/>
          <w:highlight w:val="none"/>
          <w:lang w:eastAsia="zh-CN"/>
        </w:rPr>
        <w:t>吉利邓岗村车辆停放管理服务</w:t>
      </w:r>
      <w:r>
        <w:rPr>
          <w:rFonts w:hint="eastAsia" w:ascii="宋体" w:hAnsi="宋体" w:eastAsia="宋体" w:cs="宋体"/>
          <w:color w:val="auto"/>
          <w:sz w:val="24"/>
          <w:szCs w:val="24"/>
          <w:highlight w:val="none"/>
        </w:rPr>
        <w:fldChar w:fldCharType="begin"/>
      </w:r>
      <w:r>
        <w:rPr>
          <w:rFonts w:hint="eastAsia" w:ascii="宋体" w:hAnsi="宋体" w:eastAsia="宋体" w:cs="宋体"/>
          <w:color w:val="auto"/>
          <w:sz w:val="24"/>
          <w:szCs w:val="24"/>
          <w:highlight w:val="none"/>
        </w:rPr>
        <w:instrText xml:space="preserve"> DOCVARIABLE  项目名称  \* MERGEFORMAT </w:instrText>
      </w:r>
      <w:r>
        <w:rPr>
          <w:rFonts w:hint="eastAsia" w:ascii="宋体" w:hAnsi="宋体" w:eastAsia="宋体" w:cs="宋体"/>
          <w:color w:val="auto"/>
          <w:sz w:val="24"/>
          <w:szCs w:val="24"/>
          <w:highlight w:val="none"/>
        </w:rPr>
        <w:fldChar w:fldCharType="end"/>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rPr>
        <w:fldChar w:fldCharType="begin"/>
      </w:r>
      <w:r>
        <w:rPr>
          <w:rFonts w:hint="eastAsia" w:ascii="宋体" w:hAnsi="宋体" w:eastAsia="宋体" w:cs="宋体"/>
          <w:color w:val="auto"/>
          <w:sz w:val="24"/>
          <w:szCs w:val="24"/>
          <w:highlight w:val="none"/>
        </w:rPr>
        <w:instrText xml:space="preserve"> DOCVARIABLE  采购编号  \* MERGEFORMAT </w:instrText>
      </w:r>
      <w:r>
        <w:rPr>
          <w:rFonts w:hint="eastAsia" w:ascii="宋体" w:hAnsi="宋体" w:eastAsia="宋体" w:cs="宋体"/>
          <w:color w:val="auto"/>
          <w:sz w:val="24"/>
          <w:szCs w:val="24"/>
          <w:highlight w:val="none"/>
        </w:rPr>
        <w:fldChar w:fldCharType="end"/>
      </w:r>
    </w:p>
    <w:p w14:paraId="5EF9E157">
      <w:pPr>
        <w:keepNext w:val="0"/>
        <w:keepLines w:val="0"/>
        <w:pageBreakBefore w:val="0"/>
        <w:numPr>
          <w:ilvl w:val="0"/>
          <w:numId w:val="45"/>
        </w:numPr>
        <w:tabs>
          <w:tab w:val="left" w:pos="9000"/>
        </w:tabs>
        <w:kinsoku/>
        <w:wordWrap/>
        <w:overflowPunct/>
        <w:topLinePunct w:val="0"/>
        <w:autoSpaceDE/>
        <w:autoSpaceDN/>
        <w:bidi w:val="0"/>
        <w:adjustRightInd/>
        <w:snapToGrid/>
        <w:spacing w:line="440" w:lineRule="exac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我方已认真阅读了全部</w:t>
      </w:r>
      <w:r>
        <w:rPr>
          <w:rFonts w:hint="eastAsia" w:ascii="宋体" w:hAnsi="宋体" w:eastAsia="宋体" w:cs="宋体"/>
          <w:color w:val="auto"/>
          <w:sz w:val="24"/>
          <w:szCs w:val="24"/>
          <w:highlight w:val="none"/>
          <w:lang w:eastAsia="zh-CN"/>
        </w:rPr>
        <w:t>竞投文件</w:t>
      </w:r>
      <w:r>
        <w:rPr>
          <w:rFonts w:hint="eastAsia" w:ascii="宋体" w:hAnsi="宋体" w:eastAsia="宋体" w:cs="宋体"/>
          <w:color w:val="auto"/>
          <w:sz w:val="24"/>
          <w:szCs w:val="24"/>
          <w:highlight w:val="none"/>
        </w:rPr>
        <w:t>及其相关文件，完全清楚理解其内容要求及规约，对文件的合理性、公正性和程序安排均没有任何异议、质疑和误解之处。</w:t>
      </w:r>
    </w:p>
    <w:p w14:paraId="73C5DC5A">
      <w:pPr>
        <w:keepNext w:val="0"/>
        <w:keepLines w:val="0"/>
        <w:pageBreakBefore w:val="0"/>
        <w:numPr>
          <w:ilvl w:val="0"/>
          <w:numId w:val="45"/>
        </w:numPr>
        <w:kinsoku/>
        <w:wordWrap/>
        <w:overflowPunct/>
        <w:topLinePunct w:val="0"/>
        <w:autoSpaceDE/>
        <w:autoSpaceDN/>
        <w:bidi w:val="0"/>
        <w:adjustRightInd/>
        <w:snapToGrid/>
        <w:spacing w:line="440" w:lineRule="exac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我方所提供的一切文件均已经过认真、严格的审核，其内容已充分表达了我方的真实意愿，没有任何遗漏、虚假、侵权之处，若出现违背诚实信用和商业道德之行为，愿独自承担相应的法律责任。</w:t>
      </w:r>
    </w:p>
    <w:p w14:paraId="02A18774">
      <w:pPr>
        <w:keepNext w:val="0"/>
        <w:keepLines w:val="0"/>
        <w:pageBreakBefore w:val="0"/>
        <w:numPr>
          <w:ilvl w:val="0"/>
          <w:numId w:val="45"/>
        </w:numPr>
        <w:kinsoku/>
        <w:wordWrap/>
        <w:overflowPunct/>
        <w:topLinePunct w:val="0"/>
        <w:autoSpaceDE/>
        <w:autoSpaceDN/>
        <w:bidi w:val="0"/>
        <w:adjustRightInd/>
        <w:snapToGrid/>
        <w:spacing w:line="440" w:lineRule="exac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zh-CN"/>
        </w:rPr>
        <w:t>本资格审查文件</w:t>
      </w:r>
      <w:r>
        <w:rPr>
          <w:rFonts w:hint="eastAsia" w:ascii="宋体" w:hAnsi="宋体" w:eastAsia="宋体" w:cs="宋体"/>
          <w:color w:val="auto"/>
          <w:sz w:val="24"/>
          <w:szCs w:val="24"/>
          <w:highlight w:val="none"/>
          <w:lang w:val="en-GB"/>
        </w:rPr>
        <w:t>自递交</w:t>
      </w:r>
      <w:r>
        <w:rPr>
          <w:rFonts w:hint="eastAsia" w:ascii="宋体" w:hAnsi="宋体" w:eastAsia="宋体" w:cs="宋体"/>
          <w:color w:val="auto"/>
          <w:sz w:val="24"/>
          <w:szCs w:val="24"/>
          <w:highlight w:val="none"/>
          <w:lang w:val="en-GB" w:eastAsia="zh-CN"/>
        </w:rPr>
        <w:t>竞投</w:t>
      </w:r>
      <w:r>
        <w:rPr>
          <w:rFonts w:hint="eastAsia" w:ascii="宋体" w:hAnsi="宋体" w:eastAsia="宋体" w:cs="宋体"/>
          <w:color w:val="auto"/>
          <w:sz w:val="24"/>
          <w:szCs w:val="24"/>
          <w:highlight w:val="none"/>
          <w:lang w:val="en-GB"/>
        </w:rPr>
        <w:t>文件之日起具有不少于</w:t>
      </w:r>
      <w:r>
        <w:rPr>
          <w:rFonts w:hint="eastAsia" w:ascii="宋体" w:hAnsi="宋体" w:eastAsia="宋体" w:cs="宋体"/>
          <w:color w:val="auto"/>
          <w:sz w:val="24"/>
          <w:szCs w:val="24"/>
          <w:highlight w:val="none"/>
          <w:u w:val="single"/>
          <w:lang w:val="en-US" w:eastAsia="zh-CN"/>
        </w:rPr>
        <w:t>60</w:t>
      </w:r>
      <w:r>
        <w:rPr>
          <w:rFonts w:hint="eastAsia" w:ascii="宋体" w:hAnsi="宋体" w:eastAsia="宋体" w:cs="宋体"/>
          <w:color w:val="auto"/>
          <w:sz w:val="24"/>
          <w:szCs w:val="24"/>
          <w:highlight w:val="none"/>
          <w:u w:val="single"/>
          <w:lang w:val="en-GB"/>
        </w:rPr>
        <w:t>天</w:t>
      </w:r>
      <w:r>
        <w:rPr>
          <w:rFonts w:hint="eastAsia" w:ascii="宋体" w:hAnsi="宋体" w:eastAsia="宋体" w:cs="宋体"/>
          <w:color w:val="auto"/>
          <w:sz w:val="24"/>
          <w:szCs w:val="24"/>
          <w:highlight w:val="none"/>
          <w:lang w:val="en-GB"/>
        </w:rPr>
        <w:t>的</w:t>
      </w:r>
      <w:r>
        <w:rPr>
          <w:rFonts w:hint="eastAsia" w:ascii="宋体" w:hAnsi="宋体" w:cs="宋体"/>
          <w:color w:val="auto"/>
          <w:sz w:val="24"/>
          <w:szCs w:val="24"/>
          <w:highlight w:val="none"/>
          <w:lang w:val="en-US" w:eastAsia="zh-CN"/>
        </w:rPr>
        <w:t>投标</w:t>
      </w:r>
      <w:r>
        <w:rPr>
          <w:rFonts w:hint="eastAsia" w:ascii="宋体" w:hAnsi="宋体" w:eastAsia="宋体" w:cs="宋体"/>
          <w:color w:val="auto"/>
          <w:sz w:val="24"/>
          <w:szCs w:val="24"/>
          <w:highlight w:val="none"/>
          <w:lang w:val="en-GB"/>
        </w:rPr>
        <w:t>有效期</w:t>
      </w:r>
      <w:r>
        <w:rPr>
          <w:rFonts w:hint="eastAsia" w:ascii="宋体" w:hAnsi="宋体" w:eastAsia="宋体" w:cs="宋体"/>
          <w:color w:val="auto"/>
          <w:sz w:val="24"/>
          <w:szCs w:val="24"/>
          <w:highlight w:val="none"/>
        </w:rPr>
        <w:t>，若我方获中标资格，</w:t>
      </w:r>
      <w:r>
        <w:rPr>
          <w:rFonts w:hint="eastAsia" w:ascii="宋体" w:hAnsi="宋体" w:cs="宋体"/>
          <w:color w:val="auto"/>
          <w:sz w:val="24"/>
          <w:szCs w:val="24"/>
          <w:highlight w:val="none"/>
          <w:lang w:val="en-US" w:eastAsia="zh-CN"/>
        </w:rPr>
        <w:t>投标</w:t>
      </w:r>
      <w:r>
        <w:rPr>
          <w:rFonts w:hint="eastAsia" w:ascii="宋体" w:hAnsi="宋体" w:eastAsia="宋体" w:cs="宋体"/>
          <w:color w:val="auto"/>
          <w:sz w:val="24"/>
          <w:szCs w:val="24"/>
          <w:highlight w:val="none"/>
        </w:rPr>
        <w:t>有效期则相应延长至项目最终验收合格之日，不论在任何时候，定将按贵方的要求在规定时间内如实提供一切补充材料。</w:t>
      </w:r>
    </w:p>
    <w:p w14:paraId="74FE434C">
      <w:pPr>
        <w:keepNext w:val="0"/>
        <w:keepLines w:val="0"/>
        <w:pageBreakBefore w:val="0"/>
        <w:numPr>
          <w:ilvl w:val="0"/>
          <w:numId w:val="45"/>
        </w:numPr>
        <w:kinsoku/>
        <w:wordWrap/>
        <w:overflowPunct/>
        <w:topLinePunct w:val="0"/>
        <w:autoSpaceDE/>
        <w:autoSpaceDN/>
        <w:bidi w:val="0"/>
        <w:adjustRightInd/>
        <w:snapToGrid/>
        <w:spacing w:line="440" w:lineRule="exact"/>
        <w:textAlignment w:val="auto"/>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eastAsia="zh-CN"/>
        </w:rPr>
        <w:t>清楚并同意</w:t>
      </w:r>
      <w:r>
        <w:rPr>
          <w:rFonts w:hint="eastAsia" w:ascii="宋体" w:hAnsi="宋体"/>
          <w:color w:val="auto"/>
          <w:sz w:val="24"/>
          <w:szCs w:val="24"/>
          <w:highlight w:val="none"/>
          <w:lang w:val="en-US" w:eastAsia="zh-CN"/>
        </w:rPr>
        <w:t>本项目竞投文件所述的所有带★条款要求。</w:t>
      </w:r>
    </w:p>
    <w:p w14:paraId="6B591FDE">
      <w:pPr>
        <w:keepNext w:val="0"/>
        <w:keepLines w:val="0"/>
        <w:pageBreakBefore w:val="0"/>
        <w:numPr>
          <w:ilvl w:val="0"/>
          <w:numId w:val="45"/>
        </w:numPr>
        <w:kinsoku/>
        <w:wordWrap/>
        <w:overflowPunct/>
        <w:topLinePunct w:val="0"/>
        <w:autoSpaceDE/>
        <w:autoSpaceDN/>
        <w:bidi w:val="0"/>
        <w:adjustRightInd/>
        <w:snapToGrid/>
        <w:spacing w:line="440" w:lineRule="exac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完全服从和尊重</w:t>
      </w:r>
      <w:r>
        <w:rPr>
          <w:rFonts w:hint="eastAsia" w:ascii="宋体" w:hAnsi="宋体" w:eastAsia="宋体" w:cs="宋体"/>
          <w:color w:val="auto"/>
          <w:sz w:val="24"/>
          <w:szCs w:val="24"/>
          <w:highlight w:val="none"/>
          <w:lang w:eastAsia="zh-CN"/>
        </w:rPr>
        <w:t>招标人和招标代理机构</w:t>
      </w:r>
      <w:r>
        <w:rPr>
          <w:rFonts w:hint="eastAsia" w:ascii="宋体" w:hAnsi="宋体" w:eastAsia="宋体" w:cs="宋体"/>
          <w:color w:val="auto"/>
          <w:sz w:val="24"/>
          <w:szCs w:val="24"/>
          <w:highlight w:val="none"/>
        </w:rPr>
        <w:t>所作的评审结果，同时清楚理解到</w:t>
      </w:r>
      <w:r>
        <w:rPr>
          <w:rFonts w:hint="eastAsia" w:ascii="宋体" w:hAnsi="宋体" w:eastAsia="宋体" w:cs="宋体"/>
          <w:color w:val="auto"/>
          <w:sz w:val="24"/>
          <w:szCs w:val="24"/>
          <w:highlight w:val="none"/>
          <w:lang w:eastAsia="zh-CN"/>
        </w:rPr>
        <w:t>必须通过资格审查方可参与</w:t>
      </w:r>
      <w:r>
        <w:rPr>
          <w:rFonts w:hint="eastAsia" w:ascii="宋体" w:hAnsi="宋体" w:cs="宋体"/>
          <w:color w:val="auto"/>
          <w:sz w:val="24"/>
          <w:szCs w:val="24"/>
          <w:highlight w:val="none"/>
          <w:lang w:eastAsia="zh-CN"/>
        </w:rPr>
        <w:t>报价</w:t>
      </w:r>
      <w:r>
        <w:rPr>
          <w:rFonts w:hint="eastAsia" w:ascii="宋体" w:hAnsi="宋体" w:eastAsia="宋体" w:cs="宋体"/>
          <w:color w:val="auto"/>
          <w:sz w:val="24"/>
          <w:szCs w:val="24"/>
          <w:highlight w:val="none"/>
          <w:lang w:eastAsia="zh-CN"/>
        </w:rPr>
        <w:t>竞投，通过</w:t>
      </w:r>
      <w:r>
        <w:rPr>
          <w:rFonts w:hint="eastAsia" w:ascii="宋体" w:hAnsi="宋体" w:cs="宋体"/>
          <w:color w:val="auto"/>
          <w:sz w:val="24"/>
          <w:szCs w:val="24"/>
          <w:highlight w:val="none"/>
          <w:lang w:eastAsia="zh-CN"/>
        </w:rPr>
        <w:t>报价</w:t>
      </w:r>
      <w:r>
        <w:rPr>
          <w:rFonts w:hint="eastAsia" w:ascii="宋体" w:hAnsi="宋体" w:eastAsia="宋体" w:cs="宋体"/>
          <w:color w:val="auto"/>
          <w:sz w:val="24"/>
          <w:szCs w:val="24"/>
          <w:highlight w:val="none"/>
          <w:lang w:eastAsia="zh-CN"/>
        </w:rPr>
        <w:t>竞投，竞投</w:t>
      </w:r>
      <w:r>
        <w:rPr>
          <w:rFonts w:hint="eastAsia" w:ascii="宋体" w:hAnsi="宋体" w:eastAsia="宋体" w:cs="宋体"/>
          <w:color w:val="auto"/>
          <w:sz w:val="24"/>
          <w:szCs w:val="24"/>
          <w:highlight w:val="none"/>
        </w:rPr>
        <w:t>报价</w:t>
      </w:r>
      <w:r>
        <w:rPr>
          <w:rFonts w:hint="eastAsia" w:ascii="宋体" w:hAnsi="宋体" w:eastAsia="宋体" w:cs="宋体"/>
          <w:color w:val="auto"/>
          <w:sz w:val="24"/>
          <w:szCs w:val="24"/>
          <w:highlight w:val="none"/>
          <w:lang w:eastAsia="zh-CN"/>
        </w:rPr>
        <w:t>是</w:t>
      </w:r>
      <w:r>
        <w:rPr>
          <w:rFonts w:hint="eastAsia" w:ascii="宋体" w:hAnsi="宋体" w:eastAsia="宋体" w:cs="宋体"/>
          <w:color w:val="auto"/>
          <w:sz w:val="24"/>
          <w:szCs w:val="24"/>
          <w:highlight w:val="none"/>
        </w:rPr>
        <w:t>决定中标资格的唯一依据。</w:t>
      </w:r>
    </w:p>
    <w:p w14:paraId="4D1AF3D5">
      <w:pPr>
        <w:keepNext w:val="0"/>
        <w:keepLines w:val="0"/>
        <w:pageBreakBefore w:val="0"/>
        <w:numPr>
          <w:ilvl w:val="0"/>
          <w:numId w:val="45"/>
        </w:numPr>
        <w:kinsoku/>
        <w:wordWrap/>
        <w:overflowPunct/>
        <w:topLinePunct w:val="0"/>
        <w:autoSpaceDE/>
        <w:autoSpaceDN/>
        <w:bidi w:val="0"/>
        <w:adjustRightInd/>
        <w:snapToGrid/>
        <w:spacing w:line="440" w:lineRule="exac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同意按</w:t>
      </w:r>
      <w:r>
        <w:rPr>
          <w:rFonts w:hint="eastAsia" w:ascii="宋体" w:hAnsi="宋体" w:eastAsia="宋体" w:cs="宋体"/>
          <w:color w:val="auto"/>
          <w:sz w:val="24"/>
          <w:szCs w:val="24"/>
          <w:highlight w:val="none"/>
          <w:lang w:eastAsia="zh-CN"/>
        </w:rPr>
        <w:t>竞投文件</w:t>
      </w:r>
      <w:r>
        <w:rPr>
          <w:rFonts w:hint="eastAsia" w:ascii="宋体" w:hAnsi="宋体" w:eastAsia="宋体" w:cs="宋体"/>
          <w:color w:val="auto"/>
          <w:sz w:val="24"/>
          <w:szCs w:val="24"/>
          <w:highlight w:val="none"/>
        </w:rPr>
        <w:t>的要求认真履行中标人应尽的义务，若我方行为不当而损害了</w:t>
      </w:r>
      <w:r>
        <w:rPr>
          <w:rFonts w:hint="eastAsia" w:ascii="宋体" w:hAnsi="宋体" w:eastAsia="宋体" w:cs="宋体"/>
          <w:color w:val="auto"/>
          <w:sz w:val="24"/>
          <w:szCs w:val="24"/>
          <w:highlight w:val="none"/>
          <w:lang w:eastAsia="zh-CN"/>
        </w:rPr>
        <w:t>招标人</w:t>
      </w:r>
      <w:r>
        <w:rPr>
          <w:rFonts w:hint="eastAsia" w:ascii="宋体" w:hAnsi="宋体" w:eastAsia="宋体" w:cs="宋体"/>
          <w:color w:val="auto"/>
          <w:sz w:val="24"/>
          <w:szCs w:val="24"/>
          <w:highlight w:val="none"/>
        </w:rPr>
        <w:t>的合法权益，我方愿在任何时候无条件承担相应的缔约过失责任和经济赔偿。</w:t>
      </w:r>
    </w:p>
    <w:p w14:paraId="2B8438F6">
      <w:pPr>
        <w:keepNext w:val="0"/>
        <w:keepLines w:val="0"/>
        <w:pageBreakBefore w:val="0"/>
        <w:numPr>
          <w:ilvl w:val="0"/>
          <w:numId w:val="45"/>
        </w:numPr>
        <w:kinsoku/>
        <w:wordWrap/>
        <w:overflowPunct/>
        <w:topLinePunct w:val="0"/>
        <w:autoSpaceDE/>
        <w:autoSpaceDN/>
        <w:bidi w:val="0"/>
        <w:adjustRightInd/>
        <w:snapToGrid/>
        <w:spacing w:line="440" w:lineRule="exac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我方</w:t>
      </w:r>
      <w:r>
        <w:rPr>
          <w:rFonts w:hint="eastAsia" w:ascii="宋体" w:hAnsi="宋体" w:eastAsia="宋体" w:cs="宋体"/>
          <w:color w:val="auto"/>
          <w:sz w:val="24"/>
          <w:szCs w:val="24"/>
          <w:highlight w:val="none"/>
          <w:lang w:eastAsia="zh-CN"/>
        </w:rPr>
        <w:t>具备独立法人资格，营业执照在有效期内</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eastAsia="zh-CN"/>
        </w:rPr>
        <w:t>提供营业执照副本复印件</w:t>
      </w:r>
      <w:r>
        <w:rPr>
          <w:rFonts w:hint="eastAsia" w:ascii="宋体" w:hAnsi="宋体" w:eastAsia="宋体" w:cs="宋体"/>
          <w:color w:val="auto"/>
          <w:sz w:val="24"/>
          <w:szCs w:val="24"/>
          <w:highlight w:val="none"/>
        </w:rPr>
        <w:t>以便核查。</w:t>
      </w:r>
    </w:p>
    <w:p w14:paraId="302E02FF">
      <w:pPr>
        <w:keepNext w:val="0"/>
        <w:keepLines w:val="0"/>
        <w:pageBreakBefore w:val="0"/>
        <w:numPr>
          <w:ilvl w:val="0"/>
          <w:numId w:val="45"/>
        </w:numPr>
        <w:kinsoku/>
        <w:wordWrap/>
        <w:overflowPunct/>
        <w:topLinePunct w:val="0"/>
        <w:autoSpaceDE/>
        <w:autoSpaceDN/>
        <w:bidi w:val="0"/>
        <w:adjustRightInd/>
        <w:snapToGrid/>
        <w:spacing w:line="440" w:lineRule="exac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我方</w:t>
      </w:r>
      <w:r>
        <w:rPr>
          <w:rFonts w:hint="eastAsia" w:ascii="宋体" w:hAnsi="宋体" w:eastAsia="宋体" w:cs="宋体"/>
          <w:color w:val="auto"/>
          <w:sz w:val="24"/>
          <w:szCs w:val="24"/>
          <w:highlight w:val="none"/>
          <w:lang w:eastAsia="zh-CN"/>
        </w:rPr>
        <w:t>具有竞投文件所要求的全部资格</w:t>
      </w:r>
      <w:r>
        <w:rPr>
          <w:rFonts w:hint="eastAsia" w:ascii="宋体" w:hAnsi="宋体" w:eastAsia="宋体" w:cs="宋体"/>
          <w:color w:val="auto"/>
          <w:sz w:val="24"/>
          <w:szCs w:val="24"/>
          <w:highlight w:val="none"/>
        </w:rPr>
        <w:t>，可随时向</w:t>
      </w:r>
      <w:r>
        <w:rPr>
          <w:rFonts w:hint="eastAsia" w:ascii="宋体" w:hAnsi="宋体" w:eastAsia="宋体" w:cs="宋体"/>
          <w:color w:val="auto"/>
          <w:sz w:val="24"/>
          <w:szCs w:val="24"/>
          <w:highlight w:val="none"/>
          <w:lang w:eastAsia="zh-CN"/>
        </w:rPr>
        <w:t>招标人</w:t>
      </w:r>
      <w:r>
        <w:rPr>
          <w:rFonts w:hint="eastAsia" w:ascii="宋体" w:hAnsi="宋体" w:eastAsia="宋体" w:cs="宋体"/>
          <w:color w:val="auto"/>
          <w:sz w:val="24"/>
          <w:szCs w:val="24"/>
          <w:highlight w:val="none"/>
        </w:rPr>
        <w:t>提交相关证明材料，以便核查。</w:t>
      </w:r>
    </w:p>
    <w:p w14:paraId="160A24EC">
      <w:pPr>
        <w:keepNext w:val="0"/>
        <w:keepLines w:val="0"/>
        <w:pageBreakBefore w:val="0"/>
        <w:numPr>
          <w:ilvl w:val="0"/>
          <w:numId w:val="45"/>
        </w:numPr>
        <w:kinsoku/>
        <w:wordWrap/>
        <w:overflowPunct/>
        <w:topLinePunct w:val="0"/>
        <w:autoSpaceDE/>
        <w:autoSpaceDN/>
        <w:bidi w:val="0"/>
        <w:adjustRightInd/>
        <w:snapToGrid/>
        <w:spacing w:line="440" w:lineRule="exac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我方在参与本次</w:t>
      </w:r>
      <w:r>
        <w:rPr>
          <w:rFonts w:hint="eastAsia" w:ascii="宋体" w:hAnsi="宋体" w:eastAsia="宋体" w:cs="宋体"/>
          <w:color w:val="auto"/>
          <w:sz w:val="24"/>
          <w:szCs w:val="24"/>
          <w:highlight w:val="none"/>
          <w:lang w:eastAsia="zh-CN"/>
        </w:rPr>
        <w:t>竞投</w:t>
      </w:r>
      <w:r>
        <w:rPr>
          <w:rFonts w:hint="eastAsia" w:ascii="宋体" w:hAnsi="宋体" w:eastAsia="宋体" w:cs="宋体"/>
          <w:color w:val="auto"/>
          <w:sz w:val="24"/>
          <w:szCs w:val="24"/>
          <w:highlight w:val="none"/>
        </w:rPr>
        <w:t>活动中，不曾以任何不正当的手段影响、串通、排斥有关当事人或谋取、施予非法利益，如有行为不当，愿独自承担此行为所造成的后果和法律责任。</w:t>
      </w:r>
    </w:p>
    <w:p w14:paraId="4F1AB80C">
      <w:pPr>
        <w:keepNext w:val="0"/>
        <w:keepLines w:val="0"/>
        <w:pageBreakBefore w:val="0"/>
        <w:numPr>
          <w:ilvl w:val="0"/>
          <w:numId w:val="45"/>
        </w:numPr>
        <w:tabs>
          <w:tab w:val="left" w:pos="720"/>
        </w:tabs>
        <w:kinsoku/>
        <w:wordWrap/>
        <w:overflowPunct/>
        <w:topLinePunct w:val="0"/>
        <w:autoSpaceDE/>
        <w:autoSpaceDN/>
        <w:bidi w:val="0"/>
        <w:adjustRightInd/>
        <w:snapToGrid/>
        <w:spacing w:line="440" w:lineRule="exac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同意按</w:t>
      </w:r>
      <w:r>
        <w:rPr>
          <w:rFonts w:hint="eastAsia" w:ascii="宋体" w:hAnsi="宋体" w:eastAsia="宋体" w:cs="宋体"/>
          <w:color w:val="auto"/>
          <w:sz w:val="24"/>
          <w:szCs w:val="24"/>
          <w:highlight w:val="none"/>
          <w:lang w:eastAsia="zh-CN"/>
        </w:rPr>
        <w:t>竞投文件</w:t>
      </w:r>
      <w:r>
        <w:rPr>
          <w:rFonts w:hint="eastAsia" w:ascii="宋体" w:hAnsi="宋体" w:eastAsia="宋体" w:cs="宋体"/>
          <w:color w:val="auto"/>
          <w:sz w:val="24"/>
          <w:szCs w:val="24"/>
          <w:highlight w:val="none"/>
        </w:rPr>
        <w:t>规定向贵方缴纳</w:t>
      </w:r>
      <w:r>
        <w:rPr>
          <w:rFonts w:hint="eastAsia" w:ascii="宋体" w:hAnsi="宋体" w:eastAsia="宋体" w:cs="宋体"/>
          <w:color w:val="auto"/>
          <w:sz w:val="24"/>
          <w:szCs w:val="24"/>
          <w:highlight w:val="none"/>
          <w:lang w:eastAsia="zh-CN"/>
        </w:rPr>
        <w:t>招标代理费和评估费</w:t>
      </w:r>
      <w:r>
        <w:rPr>
          <w:rFonts w:hint="eastAsia" w:ascii="宋体" w:hAnsi="宋体" w:eastAsia="宋体" w:cs="宋体"/>
          <w:color w:val="auto"/>
          <w:sz w:val="24"/>
          <w:szCs w:val="24"/>
          <w:highlight w:val="none"/>
        </w:rPr>
        <w:t>，并按《中标通知书》的要求，如期签订合同并履行其一切责任和义务。</w:t>
      </w:r>
    </w:p>
    <w:p w14:paraId="1FE5A6B5">
      <w:pPr>
        <w:keepNext w:val="0"/>
        <w:keepLines w:val="0"/>
        <w:pageBreakBefore w:val="0"/>
        <w:numPr>
          <w:ilvl w:val="0"/>
          <w:numId w:val="45"/>
        </w:numPr>
        <w:tabs>
          <w:tab w:val="left" w:pos="720"/>
        </w:tabs>
        <w:kinsoku/>
        <w:wordWrap/>
        <w:overflowPunct/>
        <w:topLinePunct w:val="0"/>
        <w:autoSpaceDE/>
        <w:autoSpaceDN/>
        <w:bidi w:val="0"/>
        <w:adjustRightInd/>
        <w:snapToGrid/>
        <w:spacing w:line="440" w:lineRule="exac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我方的法定代表人或单位负责人与所参投的本采购项目的其他</w:t>
      </w:r>
      <w:r>
        <w:rPr>
          <w:rFonts w:hint="eastAsia" w:ascii="宋体" w:hAnsi="宋体" w:eastAsia="宋体" w:cs="宋体"/>
          <w:color w:val="auto"/>
          <w:sz w:val="24"/>
          <w:szCs w:val="24"/>
          <w:highlight w:val="none"/>
          <w:lang w:eastAsia="zh-CN"/>
        </w:rPr>
        <w:t>投标人</w:t>
      </w:r>
      <w:r>
        <w:rPr>
          <w:rFonts w:hint="eastAsia" w:ascii="宋体" w:hAnsi="宋体" w:eastAsia="宋体" w:cs="宋体"/>
          <w:color w:val="auto"/>
          <w:sz w:val="24"/>
          <w:szCs w:val="24"/>
          <w:highlight w:val="none"/>
        </w:rPr>
        <w:t>的法定代表人或单位负责人不为同一人且与其他</w:t>
      </w:r>
      <w:r>
        <w:rPr>
          <w:rFonts w:hint="eastAsia" w:ascii="宋体" w:hAnsi="宋体" w:eastAsia="宋体" w:cs="宋体"/>
          <w:color w:val="auto"/>
          <w:sz w:val="24"/>
          <w:szCs w:val="24"/>
          <w:highlight w:val="none"/>
          <w:lang w:eastAsia="zh-CN"/>
        </w:rPr>
        <w:t>投标人</w:t>
      </w:r>
      <w:r>
        <w:rPr>
          <w:rFonts w:hint="eastAsia" w:ascii="宋体" w:hAnsi="宋体" w:eastAsia="宋体" w:cs="宋体"/>
          <w:color w:val="auto"/>
          <w:sz w:val="24"/>
          <w:szCs w:val="24"/>
          <w:highlight w:val="none"/>
        </w:rPr>
        <w:t>之间不存在直接控股、管理关系。</w:t>
      </w:r>
    </w:p>
    <w:p w14:paraId="6D12E936">
      <w:pPr>
        <w:keepNext w:val="0"/>
        <w:keepLines w:val="0"/>
        <w:pageBreakBefore w:val="0"/>
        <w:numPr>
          <w:ilvl w:val="0"/>
          <w:numId w:val="45"/>
        </w:numPr>
        <w:kinsoku/>
        <w:wordWrap/>
        <w:overflowPunct/>
        <w:topLinePunct w:val="0"/>
        <w:autoSpaceDE/>
        <w:autoSpaceDN/>
        <w:bidi w:val="0"/>
        <w:adjustRightInd/>
        <w:snapToGrid/>
        <w:spacing w:line="440" w:lineRule="exact"/>
        <w:textAlignment w:val="auto"/>
        <w:rPr>
          <w:rFonts w:hint="eastAsia" w:ascii="宋体" w:hAnsi="宋体" w:eastAsia="宋体" w:cs="宋体"/>
          <w:color w:val="auto"/>
          <w:sz w:val="24"/>
          <w:szCs w:val="24"/>
          <w:highlight w:val="none"/>
          <w:lang w:val="en-GB"/>
        </w:rPr>
      </w:pPr>
      <w:r>
        <w:rPr>
          <w:rFonts w:hint="eastAsia" w:ascii="宋体" w:hAnsi="宋体" w:eastAsia="宋体" w:cs="宋体"/>
          <w:color w:val="auto"/>
          <w:sz w:val="24"/>
          <w:szCs w:val="24"/>
          <w:highlight w:val="none"/>
        </w:rPr>
        <w:t>本承诺函效力及范围均涵盖我方整套</w:t>
      </w:r>
      <w:r>
        <w:rPr>
          <w:rFonts w:hint="eastAsia" w:ascii="宋体" w:hAnsi="宋体" w:eastAsia="宋体" w:cs="宋体"/>
          <w:color w:val="auto"/>
          <w:sz w:val="24"/>
          <w:szCs w:val="24"/>
          <w:highlight w:val="none"/>
          <w:lang w:eastAsia="zh-CN"/>
        </w:rPr>
        <w:t>资格审查</w:t>
      </w:r>
      <w:r>
        <w:rPr>
          <w:rFonts w:hint="eastAsia" w:ascii="宋体" w:hAnsi="宋体" w:eastAsia="宋体" w:cs="宋体"/>
          <w:color w:val="auto"/>
          <w:sz w:val="24"/>
          <w:szCs w:val="24"/>
          <w:highlight w:val="none"/>
        </w:rPr>
        <w:t>文件和一切补充文件。</w:t>
      </w:r>
    </w:p>
    <w:p w14:paraId="37148E60">
      <w:pPr>
        <w:pStyle w:val="2"/>
        <w:rPr>
          <w:rFonts w:hint="eastAsia"/>
          <w:highlight w:val="none"/>
          <w:lang w:val="en-GB"/>
        </w:rPr>
      </w:pPr>
    </w:p>
    <w:p w14:paraId="4E389255">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lang w:val="en-GB"/>
        </w:rPr>
      </w:pPr>
      <w:r>
        <w:rPr>
          <w:rFonts w:hint="eastAsia" w:ascii="宋体" w:hAnsi="宋体" w:eastAsia="宋体" w:cs="宋体"/>
          <w:color w:val="auto"/>
          <w:sz w:val="24"/>
          <w:szCs w:val="24"/>
          <w:highlight w:val="none"/>
          <w:lang w:val="en-GB" w:eastAsia="zh-CN"/>
        </w:rPr>
        <w:t>投标人</w:t>
      </w:r>
      <w:r>
        <w:rPr>
          <w:rFonts w:hint="eastAsia" w:ascii="宋体" w:hAnsi="宋体" w:eastAsia="宋体" w:cs="宋体"/>
          <w:color w:val="auto"/>
          <w:sz w:val="24"/>
          <w:szCs w:val="24"/>
          <w:highlight w:val="none"/>
          <w:lang w:val="en-GB"/>
        </w:rPr>
        <w:t>名称：</w:t>
      </w:r>
      <w:r>
        <w:rPr>
          <w:rFonts w:hint="eastAsia" w:ascii="宋体" w:hAnsi="宋体" w:eastAsia="宋体" w:cs="宋体"/>
          <w:color w:val="auto"/>
          <w:sz w:val="24"/>
          <w:szCs w:val="24"/>
          <w:highlight w:val="none"/>
          <w:u w:val="dotted"/>
          <w:lang w:val="en-GB"/>
        </w:rPr>
        <w:t>（全称）</w:t>
      </w:r>
      <w:r>
        <w:rPr>
          <w:rFonts w:hint="eastAsia" w:ascii="宋体" w:hAnsi="宋体" w:eastAsia="宋体" w:cs="宋体"/>
          <w:color w:val="auto"/>
          <w:sz w:val="24"/>
          <w:szCs w:val="24"/>
          <w:highlight w:val="none"/>
          <w:lang w:val="en-GB"/>
        </w:rPr>
        <w:t>（加盖</w:t>
      </w:r>
      <w:r>
        <w:rPr>
          <w:rFonts w:hint="eastAsia" w:ascii="宋体" w:hAnsi="宋体" w:eastAsia="宋体" w:cs="宋体"/>
          <w:color w:val="auto"/>
          <w:sz w:val="24"/>
          <w:szCs w:val="24"/>
          <w:highlight w:val="none"/>
          <w:lang w:val="en-GB" w:eastAsia="zh-CN"/>
        </w:rPr>
        <w:t>投标人</w:t>
      </w:r>
      <w:r>
        <w:rPr>
          <w:rFonts w:hint="eastAsia" w:ascii="宋体" w:hAnsi="宋体" w:eastAsia="宋体" w:cs="宋体"/>
          <w:color w:val="auto"/>
          <w:sz w:val="24"/>
          <w:szCs w:val="24"/>
          <w:highlight w:val="none"/>
          <w:lang w:val="en-GB"/>
        </w:rPr>
        <w:t>公章）</w:t>
      </w:r>
    </w:p>
    <w:p w14:paraId="513393EC">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lang w:val="en-GB" w:eastAsia="zh-CN"/>
        </w:rPr>
      </w:pPr>
      <w:r>
        <w:rPr>
          <w:rFonts w:hint="eastAsia" w:ascii="宋体" w:hAnsi="宋体" w:eastAsia="宋体" w:cs="宋体"/>
          <w:color w:val="auto"/>
          <w:sz w:val="24"/>
          <w:szCs w:val="24"/>
          <w:highlight w:val="none"/>
          <w:lang w:val="en-GB"/>
        </w:rPr>
        <w:t>法定代表人</w:t>
      </w:r>
      <w:r>
        <w:rPr>
          <w:rFonts w:hint="eastAsia" w:ascii="宋体" w:hAnsi="宋体" w:eastAsia="宋体" w:cs="宋体"/>
          <w:color w:val="auto"/>
          <w:sz w:val="24"/>
          <w:szCs w:val="24"/>
          <w:highlight w:val="none"/>
        </w:rPr>
        <w:t>/负责人</w:t>
      </w:r>
      <w:r>
        <w:rPr>
          <w:rFonts w:hint="eastAsia" w:ascii="宋体" w:hAnsi="宋体" w:eastAsia="宋体" w:cs="宋体"/>
          <w:color w:val="auto"/>
          <w:sz w:val="24"/>
          <w:szCs w:val="24"/>
          <w:highlight w:val="none"/>
          <w:lang w:val="en-GB"/>
        </w:rPr>
        <w:t>（或授权代表）：（亲笔签名或签章）</w:t>
      </w:r>
    </w:p>
    <w:p w14:paraId="26673CC2">
      <w:pPr>
        <w:keepNext w:val="0"/>
        <w:keepLines w:val="0"/>
        <w:pageBreakBefore w:val="0"/>
        <w:widowControl w:val="0"/>
        <w:tabs>
          <w:tab w:val="left" w:pos="-3780"/>
        </w:tabs>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承诺日期：</w:t>
      </w:r>
      <w:r>
        <w:rPr>
          <w:rFonts w:hint="eastAsia" w:ascii="宋体" w:hAnsi="宋体" w:cs="宋体"/>
          <w:color w:val="auto"/>
          <w:sz w:val="24"/>
          <w:szCs w:val="24"/>
          <w:highlight w:val="none"/>
          <w:lang w:eastAsia="zh-CN"/>
        </w:rPr>
        <w:t>2024年</w:t>
      </w:r>
      <w:r>
        <w:rPr>
          <w:rFonts w:hint="eastAsia" w:ascii="宋体" w:hAnsi="宋体" w:eastAsia="宋体" w:cs="宋体"/>
          <w:color w:val="auto"/>
          <w:sz w:val="24"/>
          <w:szCs w:val="24"/>
          <w:highlight w:val="none"/>
        </w:rPr>
        <w:t>月日。</w:t>
      </w:r>
    </w:p>
    <w:p w14:paraId="15D2F951">
      <w:pPr>
        <w:keepNext w:val="0"/>
        <w:keepLines w:val="0"/>
        <w:pageBreakBefore w:val="0"/>
        <w:widowControl w:val="0"/>
        <w:kinsoku/>
        <w:wordWrap/>
        <w:overflowPunct/>
        <w:topLinePunct w:val="0"/>
        <w:autoSpaceDE/>
        <w:autoSpaceDN/>
        <w:bidi w:val="0"/>
        <w:adjustRightInd/>
        <w:snapToGrid/>
        <w:spacing w:line="360" w:lineRule="auto"/>
        <w:ind w:left="420" w:right="363" w:rightChars="173" w:hanging="480" w:hangingChars="200"/>
        <w:textAlignment w:val="auto"/>
        <w:rPr>
          <w:rFonts w:hint="eastAsia" w:ascii="宋体" w:hAnsi="宋体" w:eastAsia="宋体" w:cs="宋体"/>
          <w:color w:val="auto"/>
          <w:sz w:val="24"/>
          <w:szCs w:val="24"/>
          <w:highlight w:val="none"/>
          <w:lang w:val="en-GB"/>
        </w:rPr>
      </w:pPr>
      <w:bookmarkStart w:id="117" w:name="_法人代表授权书"/>
      <w:bookmarkEnd w:id="117"/>
      <w:bookmarkStart w:id="118" w:name="_投标承诺函"/>
      <w:bookmarkEnd w:id="118"/>
      <w:r>
        <w:rPr>
          <w:rFonts w:hint="eastAsia" w:ascii="宋体" w:hAnsi="宋体" w:eastAsia="宋体" w:cs="宋体"/>
          <w:color w:val="auto"/>
          <w:sz w:val="24"/>
          <w:szCs w:val="24"/>
          <w:highlight w:val="none"/>
          <w:lang w:val="en-GB"/>
        </w:rPr>
        <w:t>说明：本承诺函内容不得擅自删改。</w:t>
      </w:r>
    </w:p>
    <w:p w14:paraId="787BC63D">
      <w:pPr>
        <w:spacing w:after="0" w:afterLines="0" w:line="240" w:lineRule="auto"/>
        <w:ind w:left="0" w:leftChars="0" w:right="363" w:rightChars="173"/>
        <w:jc w:val="center"/>
        <w:outlineLvl w:val="9"/>
        <w:rPr>
          <w:rFonts w:ascii="宋体"/>
          <w:b/>
          <w:color w:val="auto"/>
          <w:szCs w:val="21"/>
          <w:highlight w:val="none"/>
        </w:rPr>
      </w:pPr>
      <w:r>
        <w:rPr>
          <w:rFonts w:ascii="宋体"/>
          <w:b/>
          <w:color w:val="auto"/>
          <w:szCs w:val="21"/>
          <w:highlight w:val="none"/>
        </w:rPr>
        <w:br w:type="page"/>
      </w:r>
      <w:bookmarkStart w:id="119" w:name="_Toc19853"/>
      <w:bookmarkStart w:id="120" w:name="_Toc15939"/>
      <w:bookmarkStart w:id="121" w:name="_Toc13623"/>
      <w:bookmarkStart w:id="122" w:name="_Toc13584"/>
      <w:bookmarkStart w:id="123" w:name="_Toc31961"/>
      <w:bookmarkStart w:id="124" w:name="_Toc23201"/>
      <w:bookmarkStart w:id="125" w:name="_Toc4427"/>
    </w:p>
    <w:p w14:paraId="47AFF00B">
      <w:pPr>
        <w:spacing w:after="0" w:afterLines="0" w:line="240" w:lineRule="auto"/>
        <w:ind w:left="0" w:leftChars="0" w:right="363" w:rightChars="173"/>
        <w:jc w:val="center"/>
        <w:outlineLvl w:val="9"/>
        <w:rPr>
          <w:rFonts w:ascii="宋体"/>
          <w:b/>
          <w:color w:val="auto"/>
          <w:szCs w:val="21"/>
          <w:highlight w:val="none"/>
        </w:rPr>
      </w:pPr>
    </w:p>
    <w:p w14:paraId="170359F5">
      <w:pPr>
        <w:spacing w:after="0" w:afterLines="0" w:line="240" w:lineRule="auto"/>
        <w:ind w:left="0" w:leftChars="0" w:right="363" w:rightChars="173"/>
        <w:jc w:val="center"/>
        <w:outlineLvl w:val="9"/>
        <w:rPr>
          <w:rFonts w:hint="eastAsia" w:ascii="宋体" w:hAnsi="宋体"/>
          <w:b/>
          <w:color w:val="auto"/>
          <w:sz w:val="36"/>
          <w:szCs w:val="36"/>
          <w:highlight w:val="none"/>
        </w:rPr>
      </w:pPr>
      <w:r>
        <w:rPr>
          <w:rFonts w:ascii="宋体" w:hAnsi="宋体"/>
          <w:b/>
          <w:color w:val="auto"/>
          <w:sz w:val="36"/>
          <w:szCs w:val="36"/>
          <w:highlight w:val="none"/>
        </w:rPr>
        <w:t>1.</w:t>
      </w:r>
      <w:r>
        <w:rPr>
          <w:rFonts w:hint="eastAsia" w:ascii="宋体" w:hAnsi="宋体"/>
          <w:b/>
          <w:color w:val="auto"/>
          <w:sz w:val="36"/>
          <w:szCs w:val="36"/>
          <w:highlight w:val="none"/>
          <w:lang w:val="en-US" w:eastAsia="zh-CN"/>
        </w:rPr>
        <w:t>4</w:t>
      </w:r>
      <w:r>
        <w:rPr>
          <w:rFonts w:hint="eastAsia" w:ascii="宋体" w:hAnsi="宋体"/>
          <w:b/>
          <w:color w:val="auto"/>
          <w:sz w:val="36"/>
          <w:szCs w:val="36"/>
          <w:highlight w:val="none"/>
          <w:lang w:eastAsia="zh-CN"/>
        </w:rPr>
        <w:t>投标人</w:t>
      </w:r>
      <w:r>
        <w:rPr>
          <w:rFonts w:hint="eastAsia" w:ascii="宋体" w:hAnsi="宋体"/>
          <w:b/>
          <w:color w:val="auto"/>
          <w:sz w:val="36"/>
          <w:szCs w:val="36"/>
          <w:highlight w:val="none"/>
        </w:rPr>
        <w:t>资格声明函</w:t>
      </w:r>
      <w:bookmarkEnd w:id="119"/>
      <w:bookmarkEnd w:id="120"/>
      <w:bookmarkEnd w:id="121"/>
      <w:bookmarkEnd w:id="122"/>
      <w:bookmarkEnd w:id="123"/>
      <w:bookmarkEnd w:id="124"/>
      <w:bookmarkEnd w:id="125"/>
    </w:p>
    <w:p w14:paraId="72375FD3">
      <w:pPr>
        <w:pStyle w:val="6"/>
        <w:rPr>
          <w:rFonts w:hint="eastAsia" w:ascii="宋体" w:hAnsi="宋体"/>
          <w:b/>
          <w:color w:val="auto"/>
          <w:sz w:val="36"/>
          <w:szCs w:val="36"/>
          <w:highlight w:val="none"/>
        </w:rPr>
      </w:pPr>
    </w:p>
    <w:p w14:paraId="34500C74">
      <w:pPr>
        <w:rPr>
          <w:highlight w:val="none"/>
        </w:rPr>
      </w:pPr>
    </w:p>
    <w:p w14:paraId="1932E8EC">
      <w:pPr>
        <w:spacing w:line="360" w:lineRule="auto"/>
        <w:rPr>
          <w:rFonts w:hint="eastAsia" w:ascii="宋体" w:eastAsia="宋体"/>
          <w:b/>
          <w:bCs/>
          <w:color w:val="auto"/>
          <w:sz w:val="24"/>
          <w:szCs w:val="24"/>
          <w:highlight w:val="none"/>
          <w:lang w:eastAsia="zh-CN"/>
        </w:rPr>
      </w:pPr>
      <w:r>
        <w:rPr>
          <w:rFonts w:hint="eastAsia" w:ascii="宋体" w:hAnsi="宋体"/>
          <w:b/>
          <w:bCs/>
          <w:color w:val="auto"/>
          <w:sz w:val="24"/>
          <w:szCs w:val="24"/>
          <w:highlight w:val="none"/>
        </w:rPr>
        <w:t>致：</w:t>
      </w:r>
      <w:r>
        <w:rPr>
          <w:rFonts w:hint="eastAsia" w:ascii="宋体" w:hAnsi="宋体"/>
          <w:b/>
          <w:bCs/>
          <w:color w:val="auto"/>
          <w:sz w:val="24"/>
          <w:szCs w:val="24"/>
          <w:highlight w:val="none"/>
          <w:lang w:eastAsia="zh-CN"/>
        </w:rPr>
        <w:t>佛山市禅城区南庄镇吉利村邓岗经济合作社</w:t>
      </w:r>
      <w:r>
        <w:rPr>
          <w:rFonts w:hint="eastAsia" w:ascii="宋体" w:hAnsi="宋体"/>
          <w:b/>
          <w:bCs/>
          <w:color w:val="auto"/>
          <w:sz w:val="24"/>
          <w:szCs w:val="24"/>
          <w:highlight w:val="none"/>
        </w:rPr>
        <w:t>、</w:t>
      </w:r>
      <w:r>
        <w:rPr>
          <w:rFonts w:hint="eastAsia" w:ascii="宋体" w:hAnsi="宋体"/>
          <w:b/>
          <w:bCs/>
          <w:color w:val="auto"/>
          <w:sz w:val="24"/>
          <w:szCs w:val="24"/>
          <w:highlight w:val="none"/>
          <w:lang w:eastAsia="zh-CN"/>
        </w:rPr>
        <w:t>广东中采招标有限公司</w:t>
      </w:r>
    </w:p>
    <w:p w14:paraId="37EBE8B5">
      <w:pPr>
        <w:pStyle w:val="40"/>
        <w:spacing w:line="360" w:lineRule="auto"/>
        <w:ind w:firstLine="600" w:firstLineChars="250"/>
        <w:rPr>
          <w:rFonts w:hint="eastAsia" w:ascii="宋体" w:hAnsi="宋体" w:eastAsia="宋体"/>
          <w:color w:val="auto"/>
          <w:sz w:val="24"/>
          <w:szCs w:val="24"/>
          <w:highlight w:val="none"/>
        </w:rPr>
      </w:pPr>
      <w:r>
        <w:rPr>
          <w:rFonts w:hint="eastAsia" w:ascii="宋体" w:hAnsi="宋体" w:eastAsia="宋体"/>
          <w:color w:val="auto"/>
          <w:sz w:val="24"/>
          <w:szCs w:val="24"/>
          <w:highlight w:val="none"/>
        </w:rPr>
        <w:t>我公司承诺具备</w:t>
      </w:r>
      <w:r>
        <w:rPr>
          <w:rFonts w:hint="eastAsia" w:ascii="宋体" w:hAnsi="宋体" w:eastAsia="宋体"/>
          <w:color w:val="auto"/>
          <w:sz w:val="24"/>
          <w:szCs w:val="24"/>
          <w:highlight w:val="none"/>
          <w:lang w:eastAsia="zh-CN"/>
        </w:rPr>
        <w:t>竞投文件所要求的资格</w:t>
      </w:r>
      <w:r>
        <w:rPr>
          <w:rFonts w:hint="eastAsia" w:ascii="宋体" w:hAnsi="宋体" w:eastAsia="宋体"/>
          <w:color w:val="auto"/>
          <w:sz w:val="24"/>
          <w:szCs w:val="24"/>
          <w:highlight w:val="none"/>
        </w:rPr>
        <w:t>条件。</w:t>
      </w:r>
    </w:p>
    <w:p w14:paraId="0B011EBE">
      <w:pPr>
        <w:pStyle w:val="40"/>
        <w:numPr>
          <w:ilvl w:val="0"/>
          <w:numId w:val="46"/>
        </w:numPr>
        <w:spacing w:line="360" w:lineRule="auto"/>
        <w:ind w:left="425" w:leftChars="0" w:hanging="5" w:firstLineChars="0"/>
        <w:rPr>
          <w:rFonts w:hint="eastAsia" w:ascii="宋体" w:hAnsi="宋体" w:eastAsia="宋体"/>
          <w:color w:val="auto"/>
          <w:sz w:val="24"/>
          <w:szCs w:val="24"/>
          <w:highlight w:val="none"/>
          <w:lang w:val="en-US" w:eastAsia="zh-CN"/>
        </w:rPr>
      </w:pPr>
      <w:r>
        <w:rPr>
          <w:rFonts w:hint="eastAsia" w:ascii="宋体" w:hAnsi="宋体" w:eastAsia="宋体"/>
          <w:color w:val="auto"/>
          <w:sz w:val="24"/>
          <w:szCs w:val="24"/>
          <w:highlight w:val="none"/>
          <w:lang w:val="en-US" w:eastAsia="zh-CN"/>
        </w:rPr>
        <w:t>投标人须具有独立法人资格，营业执照处于有效内。</w:t>
      </w:r>
    </w:p>
    <w:p w14:paraId="68743E40">
      <w:pPr>
        <w:pStyle w:val="40"/>
        <w:numPr>
          <w:ilvl w:val="0"/>
          <w:numId w:val="46"/>
        </w:numPr>
        <w:spacing w:line="360" w:lineRule="auto"/>
        <w:ind w:left="425" w:leftChars="0" w:hanging="5" w:firstLineChars="0"/>
        <w:rPr>
          <w:rFonts w:hint="eastAsia" w:ascii="宋体" w:hAnsi="宋体" w:eastAsia="宋体"/>
          <w:color w:val="auto"/>
          <w:sz w:val="24"/>
          <w:szCs w:val="24"/>
          <w:highlight w:val="none"/>
          <w:lang w:val="en-US" w:eastAsia="zh-CN"/>
        </w:rPr>
      </w:pPr>
      <w:r>
        <w:rPr>
          <w:rFonts w:hint="eastAsia" w:ascii="宋体" w:hAnsi="宋体" w:eastAsia="宋体"/>
          <w:color w:val="auto"/>
          <w:sz w:val="24"/>
          <w:szCs w:val="24"/>
          <w:highlight w:val="none"/>
          <w:lang w:val="en-US" w:eastAsia="zh-CN"/>
        </w:rPr>
        <w:t>本项目不接受联合体竞投。</w:t>
      </w:r>
    </w:p>
    <w:p w14:paraId="0CD3468C">
      <w:pPr>
        <w:pStyle w:val="40"/>
        <w:numPr>
          <w:ilvl w:val="0"/>
          <w:numId w:val="46"/>
        </w:numPr>
        <w:spacing w:line="360" w:lineRule="auto"/>
        <w:ind w:left="425" w:leftChars="0" w:hanging="5" w:firstLineChars="0"/>
        <w:rPr>
          <w:rFonts w:hint="eastAsia" w:ascii="宋体" w:hAnsi="宋体" w:eastAsia="宋体"/>
          <w:color w:val="auto"/>
          <w:sz w:val="24"/>
          <w:szCs w:val="24"/>
          <w:highlight w:val="none"/>
          <w:lang w:val="en-US" w:eastAsia="zh-CN"/>
        </w:rPr>
      </w:pPr>
      <w:r>
        <w:rPr>
          <w:rFonts w:hint="eastAsia" w:ascii="宋体" w:hAnsi="宋体"/>
          <w:color w:val="auto"/>
          <w:sz w:val="24"/>
          <w:szCs w:val="24"/>
          <w:highlight w:val="none"/>
          <w:lang w:val="en-US" w:eastAsia="zh-CN"/>
        </w:rPr>
        <w:t>满足本项目竞投文件所述的所有带★条款要求。</w:t>
      </w:r>
    </w:p>
    <w:p w14:paraId="0B04CE27">
      <w:pPr>
        <w:pStyle w:val="40"/>
        <w:numPr>
          <w:ilvl w:val="0"/>
          <w:numId w:val="46"/>
        </w:numPr>
        <w:spacing w:line="360" w:lineRule="auto"/>
        <w:ind w:left="425" w:leftChars="0" w:hanging="5" w:firstLineChars="0"/>
        <w:rPr>
          <w:rFonts w:hint="eastAsia" w:ascii="宋体" w:hAnsi="宋体" w:eastAsia="宋体"/>
          <w:color w:val="auto"/>
          <w:sz w:val="24"/>
          <w:szCs w:val="24"/>
          <w:highlight w:val="none"/>
          <w:lang w:val="en-US" w:eastAsia="zh-CN"/>
        </w:rPr>
      </w:pPr>
      <w:r>
        <w:rPr>
          <w:rFonts w:hint="eastAsia" w:ascii="宋体" w:hAnsi="宋体" w:eastAsia="宋体"/>
          <w:color w:val="auto"/>
          <w:sz w:val="24"/>
          <w:szCs w:val="24"/>
          <w:highlight w:val="none"/>
          <w:lang w:val="en-US" w:eastAsia="zh-CN"/>
        </w:rPr>
        <w:t>法律、行政法规规定的其他条件。</w:t>
      </w:r>
    </w:p>
    <w:p w14:paraId="14B57B88">
      <w:pPr>
        <w:pStyle w:val="40"/>
        <w:numPr>
          <w:ilvl w:val="0"/>
          <w:numId w:val="47"/>
        </w:numPr>
        <w:spacing w:line="360" w:lineRule="auto"/>
        <w:ind w:left="425" w:leftChars="0" w:hanging="425" w:firstLineChars="0"/>
        <w:rPr>
          <w:rFonts w:hint="eastAsia" w:ascii="宋体" w:hAnsi="宋体" w:eastAsia="宋体"/>
          <w:color w:val="auto"/>
          <w:sz w:val="24"/>
          <w:szCs w:val="24"/>
          <w:highlight w:val="none"/>
        </w:rPr>
      </w:pPr>
      <w:r>
        <w:rPr>
          <w:rFonts w:hint="eastAsia" w:ascii="宋体" w:hAnsi="宋体" w:eastAsia="宋体"/>
          <w:color w:val="auto"/>
          <w:sz w:val="24"/>
          <w:szCs w:val="24"/>
          <w:highlight w:val="none"/>
        </w:rPr>
        <w:t>单位负责人为同一人或者存在控股、管理关系的不同单位，不得参与同一标段投标或者未划分标段的同一招标项目投标（提供《</w:t>
      </w:r>
      <w:r>
        <w:rPr>
          <w:rFonts w:hint="eastAsia" w:ascii="宋体" w:hAnsi="宋体"/>
          <w:color w:val="auto"/>
          <w:sz w:val="24"/>
          <w:szCs w:val="24"/>
          <w:highlight w:val="none"/>
          <w:lang w:eastAsia="zh-CN"/>
        </w:rPr>
        <w:t>竞投承诺函</w:t>
      </w:r>
      <w:r>
        <w:rPr>
          <w:rFonts w:hint="eastAsia" w:ascii="宋体" w:hAnsi="宋体" w:eastAsia="宋体"/>
          <w:color w:val="auto"/>
          <w:sz w:val="24"/>
          <w:szCs w:val="24"/>
          <w:highlight w:val="none"/>
        </w:rPr>
        <w:t>》）；</w:t>
      </w:r>
    </w:p>
    <w:p w14:paraId="6D970EAB">
      <w:pPr>
        <w:pStyle w:val="40"/>
        <w:numPr>
          <w:ilvl w:val="0"/>
          <w:numId w:val="47"/>
        </w:numPr>
        <w:spacing w:line="360" w:lineRule="auto"/>
        <w:ind w:left="425" w:leftChars="0" w:hanging="425" w:firstLineChars="0"/>
        <w:rPr>
          <w:rFonts w:hint="eastAsia" w:ascii="宋体" w:hAnsi="宋体" w:eastAsia="宋体"/>
          <w:color w:val="auto"/>
          <w:sz w:val="24"/>
          <w:szCs w:val="24"/>
          <w:highlight w:val="none"/>
        </w:rPr>
      </w:pPr>
      <w:r>
        <w:rPr>
          <w:rFonts w:hint="eastAsia" w:ascii="宋体" w:hAnsi="宋体" w:eastAsia="宋体"/>
          <w:color w:val="auto"/>
          <w:sz w:val="24"/>
          <w:szCs w:val="24"/>
          <w:highlight w:val="none"/>
        </w:rPr>
        <w:t>为采购项目提供整体设计、规范编制或者项目管理、监理、检测等服务的供应商，不得再参加该采购项目的其他采购活动（提供《</w:t>
      </w:r>
      <w:r>
        <w:rPr>
          <w:rFonts w:hint="eastAsia" w:ascii="宋体" w:hAnsi="宋体"/>
          <w:color w:val="auto"/>
          <w:sz w:val="24"/>
          <w:szCs w:val="24"/>
          <w:highlight w:val="none"/>
          <w:lang w:eastAsia="zh-CN"/>
        </w:rPr>
        <w:t>竞投承诺函</w:t>
      </w:r>
      <w:r>
        <w:rPr>
          <w:rFonts w:hint="eastAsia" w:ascii="宋体" w:hAnsi="宋体" w:eastAsia="宋体"/>
          <w:color w:val="auto"/>
          <w:sz w:val="24"/>
          <w:szCs w:val="24"/>
          <w:highlight w:val="none"/>
        </w:rPr>
        <w:t>》）；</w:t>
      </w:r>
    </w:p>
    <w:p w14:paraId="7FC8CDB5">
      <w:pPr>
        <w:pStyle w:val="40"/>
        <w:numPr>
          <w:ilvl w:val="0"/>
          <w:numId w:val="47"/>
        </w:numPr>
        <w:spacing w:line="360" w:lineRule="auto"/>
        <w:ind w:left="425" w:leftChars="0" w:hanging="425" w:firstLineChars="0"/>
        <w:rPr>
          <w:rFonts w:hint="eastAsia" w:ascii="宋体" w:hAnsi="宋体" w:eastAsia="宋体"/>
          <w:color w:val="auto"/>
          <w:sz w:val="24"/>
          <w:szCs w:val="24"/>
          <w:highlight w:val="none"/>
        </w:rPr>
      </w:pPr>
      <w:r>
        <w:rPr>
          <w:rFonts w:hint="eastAsia" w:ascii="宋体" w:hAnsi="宋体" w:eastAsia="宋体"/>
          <w:color w:val="auto"/>
          <w:sz w:val="24"/>
          <w:szCs w:val="24"/>
          <w:highlight w:val="none"/>
        </w:rPr>
        <w:t>信用记录：供应商未被列入“信用中国”网站(www.creditchina.gov.cn)“</w:t>
      </w:r>
      <w:r>
        <w:rPr>
          <w:rFonts w:hint="eastAsia" w:ascii="宋体" w:hAnsi="宋体"/>
          <w:color w:val="auto"/>
          <w:sz w:val="24"/>
          <w:szCs w:val="24"/>
          <w:highlight w:val="none"/>
          <w:lang w:eastAsia="zh-CN"/>
        </w:rPr>
        <w:t>记录失信被执行人或重大税收违法失信主体或政府采购严重违法失信行为</w:t>
      </w:r>
      <w:r>
        <w:rPr>
          <w:rFonts w:hint="eastAsia" w:ascii="宋体" w:hAnsi="宋体" w:eastAsia="宋体"/>
          <w:color w:val="auto"/>
          <w:sz w:val="24"/>
          <w:szCs w:val="24"/>
          <w:highlight w:val="none"/>
        </w:rPr>
        <w:t>”记录名单；不处于中国政府采购网(www.ccgp.gov.cn)“政府采购严重违法失信行为信息记录”中的禁止参加政府采购活动期间。【以</w:t>
      </w:r>
      <w:r>
        <w:rPr>
          <w:rFonts w:hint="eastAsia" w:ascii="宋体" w:hAnsi="宋体"/>
          <w:color w:val="auto"/>
          <w:sz w:val="24"/>
          <w:szCs w:val="24"/>
          <w:highlight w:val="none"/>
          <w:lang w:eastAsia="zh-CN"/>
        </w:rPr>
        <w:t>招标代理机构</w:t>
      </w:r>
      <w:r>
        <w:rPr>
          <w:rFonts w:hint="eastAsia" w:ascii="宋体" w:hAnsi="宋体" w:eastAsia="宋体"/>
          <w:color w:val="auto"/>
          <w:sz w:val="24"/>
          <w:szCs w:val="24"/>
          <w:highlight w:val="none"/>
        </w:rPr>
        <w:t>于投标截止日当天在“信用中国”网站（www.creditchina.gov.cn）及中国政府采购网(www.ccgp.gov.cn)查询结果为准，如相关失信记录已失效，供应商需提供相关证明资料】</w:t>
      </w:r>
      <w:r>
        <w:rPr>
          <w:rFonts w:hint="eastAsia" w:ascii="宋体" w:hAnsi="宋体"/>
          <w:color w:val="auto"/>
          <w:sz w:val="24"/>
          <w:szCs w:val="24"/>
          <w:highlight w:val="none"/>
          <w:lang w:eastAsia="zh-CN"/>
        </w:rPr>
        <w:t>。</w:t>
      </w:r>
    </w:p>
    <w:p w14:paraId="37A1A866">
      <w:pPr>
        <w:pStyle w:val="40"/>
        <w:spacing w:line="360" w:lineRule="auto"/>
        <w:ind w:firstLine="600" w:firstLineChars="250"/>
        <w:rPr>
          <w:rFonts w:hint="eastAsia" w:ascii="宋体" w:hAnsi="宋体" w:eastAsia="宋体"/>
          <w:color w:val="auto"/>
          <w:sz w:val="24"/>
          <w:szCs w:val="24"/>
          <w:highlight w:val="none"/>
        </w:rPr>
      </w:pPr>
      <w:r>
        <w:rPr>
          <w:rFonts w:hint="eastAsia" w:ascii="宋体" w:hAnsi="宋体" w:eastAsia="宋体"/>
          <w:color w:val="auto"/>
          <w:sz w:val="24"/>
          <w:szCs w:val="24"/>
          <w:highlight w:val="none"/>
        </w:rPr>
        <w:t>注：提供的加盖公章的相关文件复印件请附后。</w:t>
      </w:r>
    </w:p>
    <w:p w14:paraId="719EA9FF">
      <w:pPr>
        <w:pStyle w:val="40"/>
        <w:spacing w:line="360" w:lineRule="auto"/>
        <w:ind w:firstLine="600" w:firstLineChars="250"/>
        <w:rPr>
          <w:rFonts w:hint="eastAsia" w:ascii="宋体" w:hAnsi="宋体" w:eastAsia="宋体"/>
          <w:color w:val="auto"/>
          <w:sz w:val="24"/>
          <w:szCs w:val="24"/>
          <w:highlight w:val="none"/>
        </w:rPr>
      </w:pPr>
    </w:p>
    <w:p w14:paraId="3549B5D5">
      <w:pPr>
        <w:pStyle w:val="40"/>
        <w:spacing w:line="360" w:lineRule="auto"/>
        <w:ind w:firstLine="600" w:firstLineChars="250"/>
        <w:rPr>
          <w:rFonts w:hint="eastAsia" w:ascii="宋体" w:hAnsi="宋体" w:eastAsia="宋体"/>
          <w:color w:val="auto"/>
          <w:sz w:val="24"/>
          <w:szCs w:val="24"/>
          <w:highlight w:val="none"/>
        </w:rPr>
      </w:pPr>
    </w:p>
    <w:p w14:paraId="5D6AC5BF">
      <w:pPr>
        <w:pStyle w:val="40"/>
        <w:spacing w:line="360" w:lineRule="auto"/>
        <w:ind w:firstLine="600" w:firstLineChars="250"/>
        <w:rPr>
          <w:rFonts w:hint="eastAsia" w:ascii="宋体" w:hAnsi="宋体" w:eastAsia="宋体"/>
          <w:color w:val="auto"/>
          <w:sz w:val="24"/>
          <w:szCs w:val="24"/>
          <w:highlight w:val="none"/>
        </w:rPr>
      </w:pPr>
    </w:p>
    <w:p w14:paraId="1CA1FE5D">
      <w:pPr>
        <w:pStyle w:val="40"/>
        <w:spacing w:line="360" w:lineRule="auto"/>
        <w:ind w:firstLine="600" w:firstLineChars="250"/>
        <w:rPr>
          <w:rFonts w:hint="eastAsia" w:ascii="宋体" w:hAnsi="宋体" w:eastAsia="宋体"/>
          <w:color w:val="auto"/>
          <w:sz w:val="24"/>
          <w:szCs w:val="24"/>
          <w:highlight w:val="none"/>
        </w:rPr>
      </w:pPr>
      <w:r>
        <w:rPr>
          <w:rFonts w:hint="eastAsia" w:ascii="宋体" w:hAnsi="宋体" w:eastAsia="宋体"/>
          <w:color w:val="auto"/>
          <w:sz w:val="24"/>
          <w:szCs w:val="24"/>
          <w:highlight w:val="none"/>
          <w:lang w:eastAsia="zh-CN"/>
        </w:rPr>
        <w:t>投标人</w:t>
      </w:r>
      <w:r>
        <w:rPr>
          <w:rFonts w:hint="eastAsia" w:ascii="宋体" w:hAnsi="宋体" w:eastAsia="宋体"/>
          <w:color w:val="auto"/>
          <w:sz w:val="24"/>
          <w:szCs w:val="24"/>
          <w:highlight w:val="none"/>
        </w:rPr>
        <w:t>法定代表人/负责人（或授权代表）：（亲笔签字或签章）</w:t>
      </w:r>
    </w:p>
    <w:p w14:paraId="76D2A97B">
      <w:pPr>
        <w:pStyle w:val="40"/>
        <w:spacing w:line="360" w:lineRule="auto"/>
        <w:ind w:firstLine="600" w:firstLineChars="250"/>
        <w:rPr>
          <w:rFonts w:hint="eastAsia" w:ascii="宋体" w:hAnsi="宋体" w:eastAsia="宋体"/>
          <w:color w:val="auto"/>
          <w:sz w:val="24"/>
          <w:szCs w:val="24"/>
          <w:highlight w:val="none"/>
        </w:rPr>
      </w:pPr>
      <w:r>
        <w:rPr>
          <w:rFonts w:hint="eastAsia" w:ascii="宋体" w:hAnsi="宋体" w:eastAsia="宋体"/>
          <w:color w:val="auto"/>
          <w:sz w:val="24"/>
          <w:szCs w:val="24"/>
          <w:highlight w:val="none"/>
          <w:lang w:eastAsia="zh-CN"/>
        </w:rPr>
        <w:t>投标人</w:t>
      </w:r>
      <w:r>
        <w:rPr>
          <w:rFonts w:hint="eastAsia" w:ascii="宋体" w:hAnsi="宋体" w:eastAsia="宋体"/>
          <w:color w:val="auto"/>
          <w:sz w:val="24"/>
          <w:szCs w:val="24"/>
          <w:highlight w:val="none"/>
        </w:rPr>
        <w:t>名称：（加盖</w:t>
      </w:r>
      <w:r>
        <w:rPr>
          <w:rFonts w:hint="eastAsia" w:ascii="宋体" w:hAnsi="宋体" w:eastAsia="宋体"/>
          <w:color w:val="auto"/>
          <w:sz w:val="24"/>
          <w:szCs w:val="24"/>
          <w:highlight w:val="none"/>
          <w:lang w:eastAsia="zh-CN"/>
        </w:rPr>
        <w:t>投标人</w:t>
      </w:r>
      <w:r>
        <w:rPr>
          <w:rFonts w:hint="eastAsia" w:ascii="宋体" w:hAnsi="宋体" w:eastAsia="宋体"/>
          <w:color w:val="auto"/>
          <w:sz w:val="24"/>
          <w:szCs w:val="24"/>
          <w:highlight w:val="none"/>
        </w:rPr>
        <w:t>公章）</w:t>
      </w:r>
    </w:p>
    <w:p w14:paraId="76BD258B">
      <w:pPr>
        <w:pStyle w:val="40"/>
        <w:spacing w:line="360" w:lineRule="auto"/>
        <w:ind w:firstLine="600" w:firstLineChars="250"/>
        <w:rPr>
          <w:rFonts w:hint="eastAsia" w:ascii="宋体" w:hAnsi="宋体" w:eastAsia="宋体"/>
          <w:color w:val="auto"/>
          <w:sz w:val="24"/>
          <w:szCs w:val="24"/>
          <w:highlight w:val="none"/>
        </w:rPr>
      </w:pPr>
      <w:r>
        <w:rPr>
          <w:rFonts w:hint="eastAsia" w:ascii="宋体" w:hAnsi="宋体" w:eastAsia="宋体"/>
          <w:color w:val="auto"/>
          <w:sz w:val="24"/>
          <w:szCs w:val="24"/>
          <w:highlight w:val="none"/>
        </w:rPr>
        <w:t>日期：</w:t>
      </w:r>
      <w:r>
        <w:rPr>
          <w:rFonts w:hint="eastAsia" w:ascii="宋体" w:hAnsi="宋体"/>
          <w:color w:val="auto"/>
          <w:sz w:val="24"/>
          <w:szCs w:val="24"/>
          <w:highlight w:val="none"/>
          <w:lang w:eastAsia="zh-CN"/>
        </w:rPr>
        <w:t>2024年</w:t>
      </w:r>
      <w:r>
        <w:rPr>
          <w:rFonts w:hint="eastAsia" w:ascii="宋体" w:hAnsi="宋体" w:eastAsia="宋体"/>
          <w:color w:val="auto"/>
          <w:sz w:val="24"/>
          <w:szCs w:val="24"/>
          <w:highlight w:val="none"/>
        </w:rPr>
        <w:t>月日</w:t>
      </w:r>
    </w:p>
    <w:p w14:paraId="6C1FC997">
      <w:pPr>
        <w:spacing w:line="360" w:lineRule="auto"/>
        <w:ind w:left="420" w:leftChars="200"/>
        <w:rPr>
          <w:rFonts w:ascii="宋体"/>
          <w:color w:val="auto"/>
          <w:sz w:val="28"/>
          <w:szCs w:val="28"/>
          <w:highlight w:val="none"/>
        </w:rPr>
      </w:pPr>
    </w:p>
    <w:p w14:paraId="43C438B2">
      <w:pPr>
        <w:spacing w:line="360" w:lineRule="auto"/>
        <w:ind w:left="420" w:leftChars="200"/>
        <w:rPr>
          <w:rFonts w:ascii="宋体"/>
          <w:color w:val="auto"/>
          <w:sz w:val="28"/>
          <w:szCs w:val="28"/>
          <w:highlight w:val="none"/>
        </w:rPr>
      </w:pPr>
    </w:p>
    <w:p w14:paraId="07D4383C">
      <w:pPr>
        <w:spacing w:line="240" w:lineRule="auto"/>
        <w:rPr>
          <w:rFonts w:ascii="宋体"/>
          <w:color w:val="auto"/>
          <w:sz w:val="28"/>
          <w:szCs w:val="28"/>
          <w:highlight w:val="none"/>
        </w:rPr>
      </w:pPr>
      <w:r>
        <w:rPr>
          <w:rFonts w:ascii="宋体"/>
          <w:color w:val="auto"/>
          <w:sz w:val="28"/>
          <w:szCs w:val="28"/>
          <w:highlight w:val="none"/>
        </w:rPr>
        <w:br w:type="page"/>
      </w:r>
    </w:p>
    <w:p w14:paraId="3D51A276">
      <w:pPr>
        <w:pStyle w:val="2"/>
        <w:rPr>
          <w:highlight w:val="none"/>
        </w:rPr>
      </w:pPr>
    </w:p>
    <w:p w14:paraId="72415923">
      <w:pPr>
        <w:jc w:val="center"/>
        <w:rPr>
          <w:rFonts w:hint="eastAsia" w:ascii="宋体" w:hAnsi="宋体"/>
          <w:b/>
          <w:color w:val="auto"/>
          <w:sz w:val="36"/>
          <w:szCs w:val="36"/>
          <w:highlight w:val="none"/>
          <w:lang w:eastAsia="zh-CN"/>
        </w:rPr>
      </w:pPr>
      <w:bookmarkStart w:id="126" w:name="_Toc2432"/>
      <w:bookmarkEnd w:id="126"/>
      <w:bookmarkStart w:id="127" w:name="_Toc1349"/>
      <w:bookmarkStart w:id="128" w:name="_Toc14120"/>
      <w:r>
        <w:rPr>
          <w:rFonts w:hint="eastAsia" w:ascii="宋体" w:hAnsi="宋体"/>
          <w:b/>
          <w:color w:val="auto"/>
          <w:sz w:val="36"/>
          <w:szCs w:val="36"/>
          <w:highlight w:val="none"/>
          <w:lang w:eastAsia="zh-CN"/>
        </w:rPr>
        <w:t>投标人资格声明函附件资料</w:t>
      </w:r>
    </w:p>
    <w:p w14:paraId="2D5FFF94">
      <w:pPr>
        <w:pStyle w:val="6"/>
        <w:rPr>
          <w:rFonts w:hint="eastAsia"/>
          <w:highlight w:val="none"/>
          <w:lang w:eastAsia="zh-CN"/>
        </w:rPr>
      </w:pPr>
    </w:p>
    <w:p w14:paraId="21CCA0D7">
      <w:pPr>
        <w:pStyle w:val="40"/>
        <w:numPr>
          <w:ilvl w:val="0"/>
          <w:numId w:val="48"/>
        </w:numPr>
        <w:spacing w:line="360" w:lineRule="auto"/>
        <w:ind w:left="425" w:leftChars="0" w:hanging="425" w:firstLineChars="0"/>
        <w:rPr>
          <w:rFonts w:hint="eastAsia" w:ascii="宋体" w:hAnsi="宋体" w:eastAsia="宋体"/>
          <w:color w:val="auto"/>
          <w:szCs w:val="21"/>
          <w:highlight w:val="none"/>
          <w:lang w:eastAsia="zh-CN"/>
        </w:rPr>
      </w:pPr>
      <w:r>
        <w:rPr>
          <w:rFonts w:hint="eastAsia" w:ascii="宋体" w:hAnsi="宋体" w:eastAsia="宋体"/>
          <w:color w:val="auto"/>
          <w:szCs w:val="21"/>
          <w:highlight w:val="none"/>
          <w:lang w:eastAsia="zh-CN"/>
        </w:rPr>
        <w:t>营业执照副本复印件</w:t>
      </w:r>
    </w:p>
    <w:p w14:paraId="45CF38C6">
      <w:pPr>
        <w:pStyle w:val="40"/>
        <w:numPr>
          <w:ilvl w:val="0"/>
          <w:numId w:val="48"/>
        </w:numPr>
        <w:spacing w:line="360" w:lineRule="auto"/>
        <w:ind w:left="425" w:leftChars="0" w:hanging="425" w:firstLineChars="0"/>
        <w:rPr>
          <w:rFonts w:hint="eastAsia" w:ascii="宋体" w:hAnsi="宋体" w:eastAsia="宋体"/>
          <w:color w:val="auto"/>
          <w:szCs w:val="21"/>
          <w:highlight w:val="none"/>
          <w:lang w:eastAsia="zh-CN"/>
        </w:rPr>
      </w:pPr>
      <w:r>
        <w:rPr>
          <w:rFonts w:hint="eastAsia" w:ascii="宋体" w:hAnsi="宋体" w:eastAsia="宋体"/>
          <w:color w:val="auto"/>
          <w:szCs w:val="21"/>
          <w:highlight w:val="none"/>
          <w:lang w:eastAsia="zh-CN"/>
        </w:rPr>
        <w:t>相关诚信证明文件：</w:t>
      </w:r>
      <w:bookmarkStart w:id="129" w:name="_Toc27093"/>
    </w:p>
    <w:p w14:paraId="53CAB4C4">
      <w:pPr>
        <w:jc w:val="left"/>
        <w:outlineLvl w:val="2"/>
        <w:rPr>
          <w:rFonts w:hint="eastAsia"/>
          <w:color w:val="auto"/>
          <w:highlight w:val="none"/>
          <w:lang w:eastAsia="zh-CN"/>
        </w:rPr>
      </w:pPr>
    </w:p>
    <w:p w14:paraId="25DE7A03">
      <w:pPr>
        <w:jc w:val="center"/>
        <w:rPr>
          <w:rFonts w:hint="eastAsia" w:ascii="宋体" w:hAnsi="宋体"/>
          <w:b/>
          <w:color w:val="auto"/>
          <w:sz w:val="36"/>
          <w:szCs w:val="36"/>
          <w:highlight w:val="none"/>
          <w:lang w:eastAsia="zh-CN"/>
        </w:rPr>
      </w:pPr>
      <w:bookmarkStart w:id="130" w:name="_Toc13824"/>
      <w:r>
        <w:rPr>
          <w:rFonts w:hint="eastAsia" w:ascii="宋体" w:hAnsi="宋体"/>
          <w:b/>
          <w:color w:val="auto"/>
          <w:sz w:val="36"/>
          <w:szCs w:val="36"/>
          <w:highlight w:val="none"/>
          <w:lang w:eastAsia="zh-CN"/>
        </w:rPr>
        <w:t>网上信用记录证明</w:t>
      </w:r>
      <w:bookmarkEnd w:id="129"/>
      <w:bookmarkEnd w:id="130"/>
    </w:p>
    <w:p w14:paraId="50E7AFB4">
      <w:pPr>
        <w:pStyle w:val="6"/>
        <w:rPr>
          <w:rFonts w:hint="eastAsia"/>
          <w:highlight w:val="none"/>
          <w:lang w:eastAsia="zh-CN"/>
        </w:rPr>
      </w:pPr>
    </w:p>
    <w:p w14:paraId="3EA0B6B1">
      <w:pPr>
        <w:pStyle w:val="39"/>
        <w:numPr>
          <w:ilvl w:val="0"/>
          <w:numId w:val="49"/>
        </w:numPr>
        <w:spacing w:line="360" w:lineRule="auto"/>
        <w:ind w:left="425" w:leftChars="0" w:hanging="425" w:firstLineChars="0"/>
        <w:rPr>
          <w:rFonts w:ascii="宋体" w:hAnsi="宋体"/>
          <w:color w:val="auto"/>
          <w:szCs w:val="21"/>
          <w:highlight w:val="none"/>
        </w:rPr>
      </w:pPr>
      <w:r>
        <w:rPr>
          <w:rFonts w:ascii="宋体" w:hAnsi="宋体"/>
          <w:color w:val="auto"/>
          <w:szCs w:val="21"/>
          <w:highlight w:val="none"/>
        </w:rPr>
        <w:t>“信用中国”网站（www.creditchina.gov.cn）中企业信用信息</w:t>
      </w:r>
      <w:r>
        <w:rPr>
          <w:rFonts w:hint="eastAsia" w:ascii="宋体" w:hAnsi="宋体"/>
          <w:color w:val="auto"/>
          <w:szCs w:val="21"/>
          <w:highlight w:val="none"/>
        </w:rPr>
        <w:t>查询结果；</w:t>
      </w:r>
    </w:p>
    <w:p w14:paraId="24A0DDBE">
      <w:pPr>
        <w:pStyle w:val="39"/>
        <w:numPr>
          <w:ilvl w:val="0"/>
          <w:numId w:val="49"/>
        </w:numPr>
        <w:spacing w:line="360" w:lineRule="auto"/>
        <w:ind w:left="425" w:leftChars="0" w:hanging="425" w:firstLineChars="0"/>
        <w:rPr>
          <w:rFonts w:ascii="宋体" w:hAnsi="宋体"/>
          <w:color w:val="auto"/>
          <w:szCs w:val="21"/>
          <w:highlight w:val="none"/>
        </w:rPr>
      </w:pPr>
      <w:r>
        <w:rPr>
          <w:rFonts w:ascii="宋体" w:hAnsi="宋体"/>
          <w:color w:val="auto"/>
          <w:szCs w:val="21"/>
          <w:highlight w:val="none"/>
        </w:rPr>
        <w:t>“中国政府采购网”（www.ccgp.gov.cn）</w:t>
      </w:r>
      <w:r>
        <w:rPr>
          <w:rFonts w:hint="eastAsia" w:ascii="宋体" w:hAnsi="宋体"/>
          <w:color w:val="auto"/>
          <w:szCs w:val="21"/>
          <w:highlight w:val="none"/>
        </w:rPr>
        <w:t>中“</w:t>
      </w:r>
      <w:r>
        <w:rPr>
          <w:rFonts w:ascii="宋体" w:hAnsi="宋体"/>
          <w:color w:val="auto"/>
          <w:szCs w:val="21"/>
          <w:highlight w:val="none"/>
        </w:rPr>
        <w:t>政府采购严重违法失信行为信息记录”查询</w:t>
      </w:r>
      <w:r>
        <w:rPr>
          <w:rFonts w:hint="eastAsia" w:ascii="宋体" w:hAnsi="宋体"/>
          <w:color w:val="auto"/>
          <w:szCs w:val="21"/>
          <w:highlight w:val="none"/>
        </w:rPr>
        <w:t>结果。</w:t>
      </w:r>
    </w:p>
    <w:p w14:paraId="3D1DE8CD">
      <w:pPr>
        <w:pStyle w:val="40"/>
        <w:spacing w:line="360" w:lineRule="auto"/>
        <w:ind w:firstLine="482" w:firstLineChars="200"/>
        <w:rPr>
          <w:rFonts w:ascii="宋体" w:hAnsi="宋体"/>
          <w:b/>
          <w:color w:val="auto"/>
          <w:szCs w:val="21"/>
          <w:highlight w:val="none"/>
        </w:rPr>
      </w:pPr>
      <w:r>
        <w:rPr>
          <w:rFonts w:hint="eastAsia" w:ascii="宋体" w:hAnsi="宋体"/>
          <w:b/>
          <w:color w:val="auto"/>
          <w:szCs w:val="21"/>
          <w:highlight w:val="none"/>
        </w:rPr>
        <w:t>要求：</w:t>
      </w:r>
    </w:p>
    <w:p w14:paraId="63C47E5A">
      <w:pPr>
        <w:pStyle w:val="40"/>
        <w:spacing w:line="360" w:lineRule="auto"/>
        <w:ind w:firstLine="480" w:firstLineChars="200"/>
        <w:rPr>
          <w:rFonts w:ascii="宋体" w:hAnsi="宋体"/>
          <w:color w:val="auto"/>
          <w:szCs w:val="21"/>
          <w:highlight w:val="none"/>
        </w:rPr>
      </w:pPr>
      <w:r>
        <w:rPr>
          <w:rFonts w:hint="eastAsia" w:ascii="宋体" w:hAnsi="宋体"/>
          <w:color w:val="auto"/>
          <w:szCs w:val="21"/>
          <w:highlight w:val="none"/>
        </w:rPr>
        <w:t>（1）</w:t>
      </w:r>
      <w:r>
        <w:rPr>
          <w:rFonts w:ascii="宋体" w:hAnsi="宋体"/>
          <w:color w:val="auto"/>
          <w:szCs w:val="21"/>
          <w:highlight w:val="none"/>
        </w:rPr>
        <w:t>“信用中国”</w:t>
      </w:r>
      <w:r>
        <w:rPr>
          <w:rFonts w:hint="eastAsia" w:ascii="宋体" w:hAnsi="宋体"/>
          <w:color w:val="auto"/>
          <w:szCs w:val="21"/>
          <w:highlight w:val="none"/>
        </w:rPr>
        <w:t>、</w:t>
      </w:r>
      <w:r>
        <w:rPr>
          <w:rFonts w:ascii="宋体" w:hAnsi="宋体"/>
          <w:color w:val="auto"/>
          <w:szCs w:val="21"/>
          <w:highlight w:val="none"/>
        </w:rPr>
        <w:t>“中国政府采购网”</w:t>
      </w:r>
      <w:r>
        <w:rPr>
          <w:rFonts w:hint="eastAsia" w:ascii="宋体" w:hAnsi="宋体"/>
          <w:color w:val="auto"/>
          <w:szCs w:val="21"/>
          <w:highlight w:val="none"/>
        </w:rPr>
        <w:t>官网网站的查询时间不能早于本项目采购公告发布之日。</w:t>
      </w:r>
    </w:p>
    <w:p w14:paraId="1117FCBA">
      <w:pPr>
        <w:pStyle w:val="40"/>
        <w:spacing w:line="360" w:lineRule="auto"/>
        <w:ind w:firstLine="600" w:firstLineChars="250"/>
        <w:rPr>
          <w:rFonts w:ascii="宋体" w:hAnsi="宋体"/>
          <w:color w:val="auto"/>
          <w:szCs w:val="21"/>
          <w:highlight w:val="none"/>
        </w:rPr>
      </w:pPr>
      <w:r>
        <w:rPr>
          <w:rFonts w:hint="eastAsia" w:ascii="宋体" w:hAnsi="宋体"/>
          <w:color w:val="auto"/>
          <w:szCs w:val="21"/>
          <w:highlight w:val="none"/>
        </w:rPr>
        <w:t>(2)</w:t>
      </w:r>
      <w:r>
        <w:rPr>
          <w:rFonts w:ascii="宋体" w:hAnsi="宋体"/>
          <w:color w:val="auto"/>
          <w:szCs w:val="21"/>
          <w:highlight w:val="none"/>
        </w:rPr>
        <w:t>“信用中国”</w:t>
      </w:r>
      <w:r>
        <w:rPr>
          <w:rFonts w:hint="eastAsia" w:ascii="宋体" w:hAnsi="宋体"/>
          <w:color w:val="auto"/>
          <w:szCs w:val="21"/>
          <w:highlight w:val="none"/>
        </w:rPr>
        <w:t>网站查询结果可提供网页打印件或截图，或下载打印信用报告。相关资料须体现投标人全称、查询网址和查询结果，查询界面须能体现“基础信息、行政许可、行政处罚、守信激励、失信惩戒、重点关注、资质资格、风险提示、其他”，或直接下载打印信用报告。</w:t>
      </w:r>
    </w:p>
    <w:p w14:paraId="505393A1">
      <w:pPr>
        <w:pStyle w:val="40"/>
        <w:spacing w:line="360" w:lineRule="auto"/>
        <w:ind w:firstLine="480" w:firstLineChars="200"/>
        <w:rPr>
          <w:rFonts w:ascii="宋体" w:hAnsi="宋体"/>
          <w:color w:val="auto"/>
          <w:szCs w:val="21"/>
          <w:highlight w:val="none"/>
        </w:rPr>
      </w:pPr>
      <w:r>
        <w:rPr>
          <w:rFonts w:hint="eastAsia" w:ascii="宋体" w:hAnsi="宋体"/>
          <w:color w:val="auto"/>
          <w:szCs w:val="21"/>
          <w:highlight w:val="none"/>
        </w:rPr>
        <w:t>（3）</w:t>
      </w:r>
      <w:r>
        <w:rPr>
          <w:rFonts w:ascii="宋体" w:hAnsi="宋体"/>
          <w:color w:val="auto"/>
          <w:szCs w:val="21"/>
          <w:highlight w:val="none"/>
        </w:rPr>
        <w:t>“中国政府采购网”</w:t>
      </w:r>
      <w:r>
        <w:rPr>
          <w:rFonts w:hint="eastAsia" w:ascii="宋体" w:hAnsi="宋体"/>
          <w:color w:val="auto"/>
          <w:szCs w:val="21"/>
          <w:highlight w:val="none"/>
        </w:rPr>
        <w:t>网站查询结果可提供网页打印件或截图。相关资料须体现投标人全称、查询时间、查询网址和查询结果。</w:t>
      </w:r>
    </w:p>
    <w:p w14:paraId="4B7D4904">
      <w:pPr>
        <w:pStyle w:val="40"/>
        <w:spacing w:line="360" w:lineRule="auto"/>
        <w:ind w:firstLine="480" w:firstLineChars="200"/>
        <w:rPr>
          <w:rFonts w:ascii="宋体" w:hAnsi="宋体"/>
          <w:color w:val="auto"/>
          <w:szCs w:val="21"/>
          <w:highlight w:val="none"/>
        </w:rPr>
      </w:pPr>
      <w:r>
        <w:rPr>
          <w:rFonts w:hint="eastAsia" w:ascii="宋体" w:hAnsi="宋体"/>
          <w:color w:val="auto"/>
          <w:szCs w:val="21"/>
          <w:highlight w:val="none"/>
        </w:rPr>
        <w:t>（4）查询结果如显示无投标人信息或没有该企业相关记录的，亦须按照上述要求打印网页或截图。</w:t>
      </w:r>
    </w:p>
    <w:p w14:paraId="08909D7B">
      <w:pPr>
        <w:pStyle w:val="40"/>
        <w:spacing w:line="360" w:lineRule="auto"/>
        <w:ind w:firstLine="480" w:firstLineChars="200"/>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（5）查询页面显示的关键内容见下图标注指引。</w:t>
      </w:r>
    </w:p>
    <w:p w14:paraId="0FE1E06A">
      <w:pPr>
        <w:pStyle w:val="40"/>
        <w:spacing w:line="360" w:lineRule="auto"/>
        <w:rPr>
          <w:rFonts w:hint="eastAsia" w:asciiTheme="minorEastAsia" w:hAnsiTheme="minorEastAsia" w:eastAsiaTheme="minorEastAsia" w:cstheme="minorEastAsia"/>
          <w:b/>
          <w:color w:val="auto"/>
          <w:highlight w:val="none"/>
        </w:rPr>
      </w:pPr>
      <w:r>
        <w:rPr>
          <w:rFonts w:hint="eastAsia" w:asciiTheme="minorEastAsia" w:hAnsiTheme="minorEastAsia" w:eastAsiaTheme="minorEastAsia" w:cstheme="minorEastAsia"/>
          <w:b/>
          <w:color w:val="auto"/>
          <w:highlight w:val="none"/>
        </w:rPr>
        <w:t>说明：</w:t>
      </w:r>
    </w:p>
    <w:p w14:paraId="013C8A6F">
      <w:pPr>
        <w:pStyle w:val="40"/>
        <w:tabs>
          <w:tab w:val="left" w:pos="510"/>
        </w:tabs>
        <w:spacing w:line="360" w:lineRule="auto"/>
        <w:rPr>
          <w:rFonts w:hint="eastAsia" w:asciiTheme="minorEastAsia" w:hAnsiTheme="minorEastAsia" w:eastAsiaTheme="minorEastAsia" w:cstheme="minorEastAsia"/>
          <w:b/>
          <w:color w:val="auto"/>
          <w:highlight w:val="none"/>
        </w:rPr>
      </w:pPr>
      <w:r>
        <w:rPr>
          <w:rFonts w:hint="eastAsia" w:asciiTheme="minorEastAsia" w:hAnsiTheme="minorEastAsia" w:eastAsiaTheme="minorEastAsia" w:cstheme="minorEastAsia"/>
          <w:b/>
          <w:color w:val="auto"/>
          <w:highlight w:val="none"/>
        </w:rPr>
        <w:t>1.上述资格性证明文件属性是打印件的，应将打印件加盖公章；文件属性为截图的，直接复制粘贴在后打印加盖公章。</w:t>
      </w:r>
    </w:p>
    <w:p w14:paraId="59D575E6">
      <w:pPr>
        <w:pStyle w:val="41"/>
        <w:tabs>
          <w:tab w:val="left" w:pos="510"/>
        </w:tabs>
        <w:spacing w:line="360" w:lineRule="auto"/>
        <w:rPr>
          <w:rFonts w:hint="eastAsia" w:asciiTheme="minorEastAsia" w:hAnsiTheme="minorEastAsia" w:eastAsiaTheme="minorEastAsia" w:cstheme="minorEastAsia"/>
          <w:b/>
          <w:color w:val="auto"/>
          <w:highlight w:val="none"/>
        </w:rPr>
      </w:pPr>
      <w:r>
        <w:rPr>
          <w:rFonts w:hint="eastAsia" w:asciiTheme="minorEastAsia" w:hAnsiTheme="minorEastAsia" w:eastAsiaTheme="minorEastAsia" w:cstheme="minorEastAsia"/>
          <w:b/>
          <w:color w:val="auto"/>
          <w:highlight w:val="none"/>
        </w:rPr>
        <w:t>2.供应商须如实提供网上信用记录证明，</w:t>
      </w:r>
      <w:r>
        <w:rPr>
          <w:rFonts w:hint="eastAsia" w:asciiTheme="minorEastAsia" w:hAnsiTheme="minorEastAsia" w:eastAsiaTheme="minorEastAsia" w:cstheme="minorEastAsia"/>
          <w:b/>
          <w:color w:val="auto"/>
          <w:highlight w:val="none"/>
          <w:lang w:eastAsia="zh-CN"/>
        </w:rPr>
        <w:t>招标人</w:t>
      </w:r>
      <w:r>
        <w:rPr>
          <w:rFonts w:hint="eastAsia" w:asciiTheme="minorEastAsia" w:hAnsiTheme="minorEastAsia" w:eastAsiaTheme="minorEastAsia" w:cstheme="minorEastAsia"/>
          <w:b/>
          <w:color w:val="auto"/>
          <w:highlight w:val="none"/>
        </w:rPr>
        <w:t>将在资格审查时对其真实性和有效性进行审查、验证，如有造假或情况不一致，将导致投标无效！</w:t>
      </w:r>
    </w:p>
    <w:p w14:paraId="657A44CC">
      <w:pPr>
        <w:pStyle w:val="41"/>
        <w:tabs>
          <w:tab w:val="left" w:pos="510"/>
        </w:tabs>
        <w:spacing w:line="360" w:lineRule="auto"/>
        <w:rPr>
          <w:rFonts w:hint="eastAsia" w:asciiTheme="minorEastAsia" w:hAnsiTheme="minorEastAsia" w:eastAsiaTheme="minorEastAsia" w:cstheme="minorEastAsia"/>
          <w:b/>
          <w:color w:val="auto"/>
          <w:highlight w:val="none"/>
        </w:rPr>
      </w:pPr>
      <w:r>
        <w:rPr>
          <w:rFonts w:hint="eastAsia" w:asciiTheme="minorEastAsia" w:hAnsiTheme="minorEastAsia" w:eastAsiaTheme="minorEastAsia" w:cstheme="minorEastAsia"/>
          <w:b/>
          <w:color w:val="auto"/>
          <w:highlight w:val="none"/>
        </w:rPr>
        <w:t>3.信用中国官方网站地址：</w:t>
      </w:r>
      <w:r>
        <w:rPr>
          <w:rFonts w:hint="eastAsia" w:asciiTheme="minorEastAsia" w:hAnsiTheme="minorEastAsia" w:eastAsiaTheme="minorEastAsia" w:cstheme="minorEastAsia"/>
          <w:color w:val="auto"/>
          <w:highlight w:val="none"/>
        </w:rPr>
        <w:fldChar w:fldCharType="begin"/>
      </w:r>
      <w:r>
        <w:rPr>
          <w:rFonts w:hint="eastAsia" w:asciiTheme="minorEastAsia" w:hAnsiTheme="minorEastAsia" w:eastAsiaTheme="minorEastAsia" w:cstheme="minorEastAsia"/>
          <w:color w:val="auto"/>
          <w:highlight w:val="none"/>
        </w:rPr>
        <w:instrText xml:space="preserve"> HYPERLINK "https://www.creditchina.gov.cn/" </w:instrText>
      </w:r>
      <w:r>
        <w:rPr>
          <w:rFonts w:hint="eastAsia" w:asciiTheme="minorEastAsia" w:hAnsiTheme="minorEastAsia" w:eastAsiaTheme="minorEastAsia" w:cstheme="minorEastAsia"/>
          <w:color w:val="auto"/>
          <w:highlight w:val="none"/>
        </w:rPr>
        <w:fldChar w:fldCharType="separate"/>
      </w:r>
      <w:r>
        <w:rPr>
          <w:rFonts w:hint="eastAsia" w:asciiTheme="minorEastAsia" w:hAnsiTheme="minorEastAsia" w:eastAsiaTheme="minorEastAsia" w:cstheme="minorEastAsia"/>
          <w:b/>
          <w:color w:val="auto"/>
          <w:highlight w:val="none"/>
        </w:rPr>
        <w:t>https</w:t>
      </w:r>
      <w:r>
        <w:rPr>
          <w:rFonts w:hint="eastAsia" w:asciiTheme="minorEastAsia" w:hAnsiTheme="minorEastAsia" w:eastAsiaTheme="minorEastAsia" w:cstheme="minorEastAsia"/>
          <w:b/>
          <w:color w:val="auto"/>
          <w:highlight w:val="none"/>
          <w:lang w:eastAsia="zh-CN"/>
        </w:rPr>
        <w:t>：</w:t>
      </w:r>
      <w:r>
        <w:rPr>
          <w:rFonts w:hint="eastAsia" w:asciiTheme="minorEastAsia" w:hAnsiTheme="minorEastAsia" w:eastAsiaTheme="minorEastAsia" w:cstheme="minorEastAsia"/>
          <w:b/>
          <w:color w:val="auto"/>
          <w:highlight w:val="none"/>
        </w:rPr>
        <w:t>//www.creditchina.gov.cn/</w:t>
      </w:r>
      <w:r>
        <w:rPr>
          <w:rFonts w:hint="eastAsia" w:asciiTheme="minorEastAsia" w:hAnsiTheme="minorEastAsia" w:eastAsiaTheme="minorEastAsia" w:cstheme="minorEastAsia"/>
          <w:b/>
          <w:color w:val="auto"/>
          <w:highlight w:val="none"/>
        </w:rPr>
        <w:fldChar w:fldCharType="end"/>
      </w:r>
    </w:p>
    <w:p w14:paraId="0945232A">
      <w:pPr>
        <w:pStyle w:val="41"/>
        <w:tabs>
          <w:tab w:val="left" w:pos="510"/>
        </w:tabs>
        <w:spacing w:line="360" w:lineRule="auto"/>
        <w:rPr>
          <w:rFonts w:hint="eastAsia" w:asciiTheme="minorEastAsia" w:hAnsiTheme="minorEastAsia" w:eastAsiaTheme="minorEastAsia" w:cstheme="minorEastAsia"/>
          <w:b/>
          <w:color w:val="auto"/>
          <w:highlight w:val="none"/>
        </w:rPr>
      </w:pPr>
      <w:r>
        <w:rPr>
          <w:rFonts w:hint="eastAsia" w:asciiTheme="minorEastAsia" w:hAnsiTheme="minorEastAsia" w:eastAsiaTheme="minorEastAsia" w:cstheme="minorEastAsia"/>
          <w:b/>
          <w:color w:val="auto"/>
          <w:highlight w:val="none"/>
        </w:rPr>
        <w:t>4.中国政府采购网官方网站地址：</w:t>
      </w:r>
      <w:r>
        <w:rPr>
          <w:rFonts w:hint="eastAsia" w:asciiTheme="minorEastAsia" w:hAnsiTheme="minorEastAsia" w:eastAsiaTheme="minorEastAsia" w:cstheme="minorEastAsia"/>
          <w:color w:val="auto"/>
          <w:highlight w:val="none"/>
        </w:rPr>
        <w:fldChar w:fldCharType="begin"/>
      </w:r>
      <w:r>
        <w:rPr>
          <w:rFonts w:hint="eastAsia" w:asciiTheme="minorEastAsia" w:hAnsiTheme="minorEastAsia" w:eastAsiaTheme="minorEastAsia" w:cstheme="minorEastAsia"/>
          <w:color w:val="auto"/>
          <w:highlight w:val="none"/>
        </w:rPr>
        <w:instrText xml:space="preserve"> HYPERLINK "http://www.ccgp.gov.cn/" </w:instrText>
      </w:r>
      <w:r>
        <w:rPr>
          <w:rFonts w:hint="eastAsia" w:asciiTheme="minorEastAsia" w:hAnsiTheme="minorEastAsia" w:eastAsiaTheme="minorEastAsia" w:cstheme="minorEastAsia"/>
          <w:color w:val="auto"/>
          <w:highlight w:val="none"/>
        </w:rPr>
        <w:fldChar w:fldCharType="separate"/>
      </w:r>
      <w:r>
        <w:rPr>
          <w:rStyle w:val="24"/>
          <w:rFonts w:hint="eastAsia" w:asciiTheme="minorEastAsia" w:hAnsiTheme="minorEastAsia" w:eastAsiaTheme="minorEastAsia" w:cstheme="minorEastAsia"/>
          <w:b/>
          <w:color w:val="auto"/>
          <w:highlight w:val="none"/>
        </w:rPr>
        <w:t>http</w:t>
      </w:r>
      <w:r>
        <w:rPr>
          <w:rStyle w:val="24"/>
          <w:rFonts w:hint="eastAsia" w:asciiTheme="minorEastAsia" w:hAnsiTheme="minorEastAsia" w:eastAsiaTheme="minorEastAsia" w:cstheme="minorEastAsia"/>
          <w:b/>
          <w:color w:val="auto"/>
          <w:highlight w:val="none"/>
          <w:lang w:eastAsia="zh-CN"/>
        </w:rPr>
        <w:t>：</w:t>
      </w:r>
      <w:r>
        <w:rPr>
          <w:rStyle w:val="24"/>
          <w:rFonts w:hint="eastAsia" w:asciiTheme="minorEastAsia" w:hAnsiTheme="minorEastAsia" w:eastAsiaTheme="minorEastAsia" w:cstheme="minorEastAsia"/>
          <w:b/>
          <w:color w:val="auto"/>
          <w:highlight w:val="none"/>
        </w:rPr>
        <w:t>//www.ccgp.gov.cn/</w:t>
      </w:r>
      <w:r>
        <w:rPr>
          <w:rFonts w:hint="eastAsia" w:asciiTheme="minorEastAsia" w:hAnsiTheme="minorEastAsia" w:eastAsiaTheme="minorEastAsia" w:cstheme="minorEastAsia"/>
          <w:b/>
          <w:color w:val="auto"/>
          <w:highlight w:val="none"/>
        </w:rPr>
        <w:fldChar w:fldCharType="end"/>
      </w:r>
    </w:p>
    <w:p w14:paraId="08C1A5F3">
      <w:pPr>
        <w:pStyle w:val="41"/>
        <w:tabs>
          <w:tab w:val="left" w:pos="510"/>
        </w:tabs>
        <w:spacing w:line="360" w:lineRule="auto"/>
        <w:rPr>
          <w:b/>
          <w:color w:val="auto"/>
          <w:highlight w:val="none"/>
        </w:rPr>
      </w:pPr>
    </w:p>
    <w:p w14:paraId="52E972B6">
      <w:pPr>
        <w:pStyle w:val="41"/>
        <w:tabs>
          <w:tab w:val="left" w:pos="510"/>
        </w:tabs>
        <w:spacing w:line="360" w:lineRule="auto"/>
        <w:rPr>
          <w:b/>
          <w:color w:val="auto"/>
          <w:highlight w:val="none"/>
        </w:rPr>
      </w:pPr>
    </w:p>
    <w:p w14:paraId="731D4096">
      <w:pPr>
        <w:rPr>
          <w:rFonts w:hint="eastAsia"/>
          <w:b/>
          <w:color w:val="auto"/>
          <w:highlight w:val="none"/>
        </w:rPr>
      </w:pPr>
      <w:r>
        <w:rPr>
          <w:rFonts w:hint="eastAsia"/>
          <w:b/>
          <w:color w:val="auto"/>
          <w:highlight w:val="none"/>
        </w:rPr>
        <w:br w:type="page"/>
      </w:r>
    </w:p>
    <w:p w14:paraId="368453CC">
      <w:pPr>
        <w:pStyle w:val="41"/>
        <w:tabs>
          <w:tab w:val="left" w:pos="510"/>
        </w:tabs>
        <w:spacing w:line="360" w:lineRule="auto"/>
        <w:rPr>
          <w:b/>
          <w:color w:val="auto"/>
          <w:highlight w:val="none"/>
        </w:rPr>
      </w:pPr>
      <w:r>
        <w:rPr>
          <w:rFonts w:hint="eastAsia"/>
          <w:b/>
          <w:color w:val="auto"/>
          <w:highlight w:val="none"/>
        </w:rPr>
        <w:t>网站界面参考图：</w:t>
      </w:r>
    </w:p>
    <w:p w14:paraId="761BA565">
      <w:pPr>
        <w:pStyle w:val="41"/>
        <w:tabs>
          <w:tab w:val="left" w:pos="510"/>
        </w:tabs>
        <w:spacing w:line="360" w:lineRule="auto"/>
        <w:rPr>
          <w:b/>
          <w:color w:val="auto"/>
          <w:highlight w:val="none"/>
        </w:rPr>
      </w:pPr>
      <w:r>
        <w:rPr>
          <w:color w:val="auto"/>
          <w:highlight w:val="none"/>
        </w:rPr>
        <w:drawing>
          <wp:inline distT="0" distB="0" distL="114300" distR="114300">
            <wp:extent cx="6091555" cy="3405505"/>
            <wp:effectExtent l="0" t="0" r="4445" b="4445"/>
            <wp:docPr id="15" name="图片 3" descr="说明: 说明: C:\Users\yu\Documents\Tencent Files\56133984\Image\Group\F{N78Z(C5%)2S$MR8(NEC[Q.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3" descr="说明: 说明: C:\Users\yu\Documents\Tencent Files\56133984\Image\Group\F{N78Z(C5%)2S$MR8(NEC[Q.jpg"/>
                    <pic:cNvPicPr>
                      <a:picLocks noChangeAspect="1"/>
                    </pic:cNvPicPr>
                  </pic:nvPicPr>
                  <pic:blipFill>
                    <a:blip r:embed="rId9"/>
                    <a:stretch>
                      <a:fillRect/>
                    </a:stretch>
                  </pic:blipFill>
                  <pic:spPr>
                    <a:xfrm>
                      <a:off x="0" y="0"/>
                      <a:ext cx="6091555" cy="3405505"/>
                    </a:xfrm>
                    <a:prstGeom prst="rect">
                      <a:avLst/>
                    </a:prstGeom>
                    <a:noFill/>
                    <a:ln w="9525">
                      <a:noFill/>
                    </a:ln>
                    <a:effectLst/>
                  </pic:spPr>
                </pic:pic>
              </a:graphicData>
            </a:graphic>
          </wp:inline>
        </w:drawing>
      </w:r>
    </w:p>
    <w:p w14:paraId="41B2FFFB">
      <w:pPr>
        <w:pStyle w:val="41"/>
        <w:tabs>
          <w:tab w:val="left" w:pos="510"/>
        </w:tabs>
        <w:spacing w:line="360" w:lineRule="auto"/>
        <w:rPr>
          <w:b/>
          <w:color w:val="auto"/>
          <w:highlight w:val="none"/>
        </w:rPr>
      </w:pPr>
    </w:p>
    <w:p w14:paraId="17AA32D3">
      <w:pPr>
        <w:jc w:val="center"/>
        <w:outlineLvl w:val="2"/>
        <w:rPr>
          <w:rFonts w:hint="eastAsia"/>
          <w:color w:val="auto"/>
          <w:highlight w:val="none"/>
        </w:rPr>
      </w:pPr>
      <w:bookmarkStart w:id="131" w:name="_Toc26331"/>
      <w:r>
        <w:rPr>
          <w:color w:val="auto"/>
          <w:highlight w:val="none"/>
        </w:rPr>
        <w:drawing>
          <wp:inline distT="0" distB="0" distL="114300" distR="114300">
            <wp:extent cx="6047740" cy="4335780"/>
            <wp:effectExtent l="0" t="0" r="10160" b="7620"/>
            <wp:docPr id="1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4"/>
                    <pic:cNvPicPr>
                      <a:picLocks noChangeAspect="1"/>
                    </pic:cNvPicPr>
                  </pic:nvPicPr>
                  <pic:blipFill>
                    <a:blip r:embed="rId10"/>
                    <a:stretch>
                      <a:fillRect/>
                    </a:stretch>
                  </pic:blipFill>
                  <pic:spPr>
                    <a:xfrm>
                      <a:off x="0" y="0"/>
                      <a:ext cx="6047740" cy="4335780"/>
                    </a:xfrm>
                    <a:prstGeom prst="rect">
                      <a:avLst/>
                    </a:prstGeom>
                    <a:noFill/>
                    <a:ln w="9525">
                      <a:noFill/>
                    </a:ln>
                    <a:effectLst/>
                  </pic:spPr>
                </pic:pic>
              </a:graphicData>
            </a:graphic>
          </wp:inline>
        </w:drawing>
      </w:r>
      <w:r>
        <w:rPr>
          <w:rFonts w:hint="eastAsia"/>
          <w:color w:val="auto"/>
          <w:highlight w:val="none"/>
        </w:rPr>
        <w:br w:type="page"/>
      </w:r>
      <w:bookmarkEnd w:id="127"/>
      <w:bookmarkEnd w:id="128"/>
      <w:bookmarkEnd w:id="131"/>
      <w:bookmarkStart w:id="132" w:name="_Toc334432603"/>
    </w:p>
    <w:p w14:paraId="320E1A54">
      <w:pPr>
        <w:jc w:val="center"/>
        <w:outlineLvl w:val="2"/>
        <w:rPr>
          <w:rFonts w:hint="eastAsia" w:ascii="宋体" w:hAnsi="宋体"/>
          <w:b/>
          <w:color w:val="auto"/>
          <w:sz w:val="32"/>
          <w:szCs w:val="32"/>
          <w:highlight w:val="none"/>
        </w:rPr>
      </w:pPr>
      <w:bookmarkStart w:id="133" w:name="_Toc20260"/>
      <w:r>
        <w:rPr>
          <w:rFonts w:hint="eastAsia" w:ascii="宋体" w:hAnsi="宋体" w:eastAsia="宋体" w:cs="Times New Roman"/>
          <w:b/>
          <w:color w:val="auto"/>
          <w:sz w:val="32"/>
          <w:szCs w:val="32"/>
          <w:highlight w:val="none"/>
          <w:lang w:val="en-US" w:eastAsia="zh-CN"/>
        </w:rPr>
        <w:t>1.5</w:t>
      </w:r>
      <w:r>
        <w:rPr>
          <w:rFonts w:hint="eastAsia" w:ascii="宋体" w:hAnsi="宋体" w:eastAsia="宋体"/>
          <w:b/>
          <w:color w:val="auto"/>
          <w:sz w:val="32"/>
          <w:szCs w:val="32"/>
          <w:highlight w:val="none"/>
          <w:lang w:eastAsia="zh-CN"/>
        </w:rPr>
        <w:t>竞投</w:t>
      </w:r>
      <w:r>
        <w:rPr>
          <w:rFonts w:hint="eastAsia" w:ascii="宋体" w:hAnsi="宋体"/>
          <w:b/>
          <w:color w:val="auto"/>
          <w:sz w:val="32"/>
          <w:szCs w:val="32"/>
          <w:highlight w:val="none"/>
        </w:rPr>
        <w:t>保证金</w:t>
      </w:r>
      <w:bookmarkEnd w:id="133"/>
    </w:p>
    <w:p w14:paraId="14265097">
      <w:pPr>
        <w:pStyle w:val="6"/>
        <w:rPr>
          <w:rFonts w:hint="eastAsia" w:ascii="宋体" w:hAnsi="宋体"/>
          <w:b/>
          <w:color w:val="auto"/>
          <w:sz w:val="24"/>
          <w:szCs w:val="24"/>
          <w:highlight w:val="none"/>
        </w:rPr>
      </w:pPr>
    </w:p>
    <w:p w14:paraId="32814251">
      <w:pPr>
        <w:rPr>
          <w:sz w:val="24"/>
          <w:szCs w:val="24"/>
          <w:highlight w:val="none"/>
        </w:rPr>
      </w:pPr>
    </w:p>
    <w:p w14:paraId="365FE084">
      <w:pPr>
        <w:spacing w:line="360" w:lineRule="auto"/>
        <w:rPr>
          <w:rFonts w:hint="eastAsia" w:ascii="宋体" w:eastAsia="宋体"/>
          <w:color w:val="auto"/>
          <w:sz w:val="24"/>
          <w:szCs w:val="24"/>
          <w:highlight w:val="none"/>
          <w:lang w:eastAsia="zh-CN"/>
        </w:rPr>
      </w:pPr>
      <w:r>
        <w:rPr>
          <w:rFonts w:hint="eastAsia" w:ascii="宋体" w:hAnsi="宋体"/>
          <w:color w:val="auto"/>
          <w:sz w:val="24"/>
          <w:szCs w:val="24"/>
          <w:highlight w:val="none"/>
        </w:rPr>
        <w:t>附：</w:t>
      </w:r>
    </w:p>
    <w:tbl>
      <w:tblPr>
        <w:tblStyle w:val="20"/>
        <w:tblW w:w="957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70"/>
      </w:tblGrid>
      <w:tr w14:paraId="425EEF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2" w:hRule="atLeast"/>
        </w:trPr>
        <w:tc>
          <w:tcPr>
            <w:tcW w:w="9570" w:type="dxa"/>
            <w:noWrap w:val="0"/>
            <w:vAlign w:val="top"/>
          </w:tcPr>
          <w:p w14:paraId="0B05A047">
            <w:pPr>
              <w:spacing w:line="360" w:lineRule="auto"/>
              <w:rPr>
                <w:rFonts w:ascii="宋体"/>
                <w:color w:val="auto"/>
                <w:sz w:val="24"/>
                <w:szCs w:val="24"/>
                <w:highlight w:val="none"/>
              </w:rPr>
            </w:pPr>
          </w:p>
          <w:p w14:paraId="40F5066B">
            <w:pPr>
              <w:spacing w:line="360" w:lineRule="auto"/>
              <w:rPr>
                <w:rFonts w:ascii="宋体"/>
                <w:color w:val="auto"/>
                <w:sz w:val="24"/>
                <w:szCs w:val="24"/>
                <w:highlight w:val="none"/>
              </w:rPr>
            </w:pPr>
          </w:p>
          <w:p w14:paraId="1B923A20">
            <w:pPr>
              <w:spacing w:line="360" w:lineRule="auto"/>
              <w:rPr>
                <w:rFonts w:ascii="宋体"/>
                <w:color w:val="auto"/>
                <w:sz w:val="24"/>
                <w:szCs w:val="24"/>
                <w:highlight w:val="none"/>
              </w:rPr>
            </w:pPr>
          </w:p>
          <w:p w14:paraId="6F6D70EC">
            <w:pPr>
              <w:spacing w:line="360" w:lineRule="auto"/>
              <w:jc w:val="center"/>
              <w:rPr>
                <w:rFonts w:hint="default" w:ascii="宋体" w:eastAsia="宋体"/>
                <w:color w:val="auto"/>
                <w:sz w:val="24"/>
                <w:szCs w:val="24"/>
                <w:highlight w:val="none"/>
                <w:lang w:val="en-US" w:eastAsia="zh-CN"/>
              </w:rPr>
            </w:pPr>
            <w:r>
              <w:rPr>
                <w:rFonts w:hint="eastAsia" w:ascii="宋体" w:hAnsi="宋体"/>
                <w:color w:val="auto"/>
                <w:sz w:val="24"/>
                <w:szCs w:val="24"/>
                <w:highlight w:val="none"/>
                <w:lang w:eastAsia="zh-CN"/>
              </w:rPr>
              <w:t>竞投保证金转账凭证复印件</w:t>
            </w:r>
            <w:r>
              <w:rPr>
                <w:rFonts w:hint="eastAsia" w:ascii="宋体" w:hAnsi="宋体"/>
                <w:color w:val="auto"/>
                <w:sz w:val="24"/>
                <w:szCs w:val="24"/>
                <w:highlight w:val="none"/>
                <w:lang w:val="en-US" w:eastAsia="zh-CN"/>
              </w:rPr>
              <w:t>/扫描件（加盖公章）</w:t>
            </w:r>
          </w:p>
        </w:tc>
      </w:tr>
    </w:tbl>
    <w:p w14:paraId="40D11515">
      <w:pPr>
        <w:pStyle w:val="6"/>
        <w:ind w:firstLine="400"/>
        <w:rPr>
          <w:color w:val="auto"/>
          <w:highlight w:val="none"/>
        </w:rPr>
      </w:pPr>
    </w:p>
    <w:p w14:paraId="442BDF74">
      <w:pPr>
        <w:rPr>
          <w:color w:val="auto"/>
          <w:highlight w:val="none"/>
        </w:rPr>
      </w:pPr>
    </w:p>
    <w:p w14:paraId="0DDF4E61">
      <w:pPr>
        <w:rPr>
          <w:color w:val="auto"/>
          <w:highlight w:val="none"/>
        </w:rPr>
      </w:pPr>
    </w:p>
    <w:p w14:paraId="14B3CAAD">
      <w:pPr>
        <w:rPr>
          <w:color w:val="auto"/>
          <w:highlight w:val="none"/>
        </w:rPr>
      </w:pPr>
    </w:p>
    <w:p w14:paraId="06340757">
      <w:pPr>
        <w:rPr>
          <w:color w:val="auto"/>
          <w:highlight w:val="none"/>
        </w:rPr>
      </w:pPr>
    </w:p>
    <w:p w14:paraId="667F2F22">
      <w:pPr>
        <w:rPr>
          <w:b/>
          <w:color w:val="auto"/>
          <w:highlight w:val="none"/>
        </w:rPr>
      </w:pPr>
    </w:p>
    <w:p w14:paraId="70BBB4FB">
      <w:pPr>
        <w:jc w:val="center"/>
        <w:rPr>
          <w:b/>
          <w:bCs/>
          <w:color w:val="auto"/>
          <w:sz w:val="22"/>
          <w:szCs w:val="28"/>
          <w:highlight w:val="none"/>
        </w:rPr>
      </w:pPr>
    </w:p>
    <w:p w14:paraId="15738E72">
      <w:pPr>
        <w:jc w:val="center"/>
        <w:rPr>
          <w:b/>
          <w:bCs/>
          <w:color w:val="auto"/>
          <w:sz w:val="28"/>
          <w:szCs w:val="28"/>
          <w:highlight w:val="none"/>
        </w:rPr>
      </w:pPr>
      <w:r>
        <w:rPr>
          <w:rFonts w:hint="eastAsia"/>
          <w:b/>
          <w:bCs/>
          <w:color w:val="auto"/>
          <w:sz w:val="28"/>
          <w:szCs w:val="28"/>
          <w:highlight w:val="none"/>
        </w:rPr>
        <w:t>退</w:t>
      </w:r>
      <w:r>
        <w:rPr>
          <w:rFonts w:hint="eastAsia"/>
          <w:b/>
          <w:bCs/>
          <w:color w:val="auto"/>
          <w:sz w:val="28"/>
          <w:szCs w:val="28"/>
          <w:highlight w:val="none"/>
          <w:lang w:eastAsia="zh-CN"/>
        </w:rPr>
        <w:t>竞投保证金</w:t>
      </w:r>
      <w:r>
        <w:rPr>
          <w:rFonts w:hint="eastAsia"/>
          <w:b/>
          <w:bCs/>
          <w:color w:val="auto"/>
          <w:sz w:val="28"/>
          <w:szCs w:val="28"/>
          <w:highlight w:val="none"/>
        </w:rPr>
        <w:t>说明</w:t>
      </w:r>
    </w:p>
    <w:p w14:paraId="6B927F09">
      <w:pPr>
        <w:jc w:val="center"/>
        <w:rPr>
          <w:b/>
          <w:bCs/>
          <w:color w:val="auto"/>
          <w:sz w:val="22"/>
          <w:szCs w:val="28"/>
          <w:highlight w:val="none"/>
        </w:rPr>
      </w:pPr>
    </w:p>
    <w:p w14:paraId="77510798">
      <w:pPr>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我方为</w:t>
      </w:r>
      <w:r>
        <w:rPr>
          <w:rFonts w:hint="eastAsia" w:ascii="宋体" w:hAnsi="宋体" w:cs="宋体"/>
          <w:color w:val="auto"/>
          <w:sz w:val="24"/>
          <w:szCs w:val="24"/>
          <w:highlight w:val="none"/>
          <w:lang w:eastAsia="zh-CN"/>
        </w:rPr>
        <w:t>吉利邓岗村车辆停放管理服务</w:t>
      </w:r>
      <w:r>
        <w:rPr>
          <w:rFonts w:hint="eastAsia" w:ascii="宋体" w:hAnsi="宋体" w:eastAsia="宋体" w:cs="宋体"/>
          <w:color w:val="auto"/>
          <w:sz w:val="24"/>
          <w:szCs w:val="24"/>
          <w:highlight w:val="none"/>
          <w:lang w:eastAsia="zh-CN"/>
        </w:rPr>
        <w:t>竞投</w:t>
      </w:r>
      <w:r>
        <w:rPr>
          <w:rFonts w:hint="eastAsia" w:ascii="宋体" w:hAnsi="宋体" w:eastAsia="宋体" w:cs="宋体"/>
          <w:color w:val="auto"/>
          <w:sz w:val="24"/>
          <w:szCs w:val="24"/>
          <w:highlight w:val="none"/>
        </w:rPr>
        <w:t>所提交的</w:t>
      </w:r>
      <w:r>
        <w:rPr>
          <w:rFonts w:hint="eastAsia" w:ascii="宋体" w:hAnsi="宋体" w:cs="宋体"/>
          <w:color w:val="auto"/>
          <w:sz w:val="24"/>
          <w:szCs w:val="24"/>
          <w:highlight w:val="none"/>
          <w:lang w:eastAsia="zh-CN"/>
        </w:rPr>
        <w:t>竞投保证金</w:t>
      </w:r>
      <w:r>
        <w:rPr>
          <w:rFonts w:hint="eastAsia" w:ascii="宋体" w:hAnsi="宋体" w:cs="宋体"/>
          <w:color w:val="auto"/>
          <w:sz w:val="24"/>
          <w:szCs w:val="24"/>
          <w:highlight w:val="none"/>
          <w:u w:val="single"/>
          <w:lang w:val="en-US" w:eastAsia="zh-CN"/>
        </w:rPr>
        <w:t>50,000.00</w:t>
      </w:r>
      <w:r>
        <w:rPr>
          <w:rFonts w:hint="eastAsia" w:ascii="宋体" w:hAnsi="宋体" w:eastAsia="宋体" w:cs="宋体"/>
          <w:color w:val="auto"/>
          <w:sz w:val="24"/>
          <w:szCs w:val="24"/>
          <w:highlight w:val="none"/>
        </w:rPr>
        <w:t>元，请贵司退还</w:t>
      </w:r>
      <w:r>
        <w:rPr>
          <w:rFonts w:hint="eastAsia" w:ascii="宋体" w:hAnsi="宋体" w:cs="宋体"/>
          <w:color w:val="auto"/>
          <w:sz w:val="24"/>
          <w:szCs w:val="24"/>
          <w:highlight w:val="none"/>
          <w:lang w:eastAsia="zh-CN"/>
        </w:rPr>
        <w:t>竞投保证金</w:t>
      </w:r>
      <w:r>
        <w:rPr>
          <w:rFonts w:hint="eastAsia" w:ascii="宋体" w:hAnsi="宋体" w:eastAsia="宋体" w:cs="宋体"/>
          <w:color w:val="auto"/>
          <w:sz w:val="24"/>
          <w:szCs w:val="24"/>
          <w:highlight w:val="none"/>
        </w:rPr>
        <w:t>时按以下账号划款：</w:t>
      </w:r>
    </w:p>
    <w:tbl>
      <w:tblPr>
        <w:tblStyle w:val="20"/>
        <w:tblW w:w="9565" w:type="dxa"/>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2391"/>
        <w:gridCol w:w="4024"/>
        <w:gridCol w:w="1233"/>
        <w:gridCol w:w="1917"/>
      </w:tblGrid>
      <w:tr w14:paraId="2F23B9B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52" w:hRule="atLeast"/>
        </w:trPr>
        <w:tc>
          <w:tcPr>
            <w:tcW w:w="2391" w:type="dxa"/>
            <w:tcBorders>
              <w:tl2br w:val="nil"/>
              <w:tr2bl w:val="nil"/>
            </w:tcBorders>
            <w:noWrap w:val="0"/>
            <w:vAlign w:val="center"/>
          </w:tcPr>
          <w:p w14:paraId="0C73D59E">
            <w:pPr>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收款人</w:t>
            </w:r>
            <w:r>
              <w:rPr>
                <w:rFonts w:hint="eastAsia" w:ascii="宋体" w:hAnsi="宋体"/>
                <w:color w:val="auto"/>
                <w:sz w:val="24"/>
                <w:szCs w:val="24"/>
                <w:highlight w:val="none"/>
                <w:lang w:val="en-US" w:eastAsia="zh-CN"/>
              </w:rPr>
              <w:t>（加盖公章）</w:t>
            </w:r>
          </w:p>
        </w:tc>
        <w:tc>
          <w:tcPr>
            <w:tcW w:w="7174" w:type="dxa"/>
            <w:gridSpan w:val="3"/>
            <w:tcBorders>
              <w:tl2br w:val="nil"/>
              <w:tr2bl w:val="nil"/>
            </w:tcBorders>
            <w:noWrap w:val="0"/>
            <w:vAlign w:val="center"/>
          </w:tcPr>
          <w:p w14:paraId="591105B2">
            <w:pPr>
              <w:jc w:val="both"/>
              <w:rPr>
                <w:rFonts w:hint="eastAsia" w:ascii="宋体" w:hAnsi="宋体" w:eastAsia="宋体" w:cs="宋体"/>
                <w:color w:val="auto"/>
                <w:sz w:val="24"/>
                <w:szCs w:val="24"/>
                <w:highlight w:val="none"/>
              </w:rPr>
            </w:pPr>
          </w:p>
        </w:tc>
      </w:tr>
      <w:tr w14:paraId="76D342D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12" w:hRule="atLeast"/>
        </w:trPr>
        <w:tc>
          <w:tcPr>
            <w:tcW w:w="2391" w:type="dxa"/>
            <w:tcBorders>
              <w:tl2br w:val="nil"/>
              <w:tr2bl w:val="nil"/>
            </w:tcBorders>
            <w:noWrap w:val="0"/>
            <w:vAlign w:val="center"/>
          </w:tcPr>
          <w:p w14:paraId="36EC1391">
            <w:pPr>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收款人地址</w:t>
            </w:r>
          </w:p>
        </w:tc>
        <w:tc>
          <w:tcPr>
            <w:tcW w:w="7174" w:type="dxa"/>
            <w:gridSpan w:val="3"/>
            <w:tcBorders>
              <w:tl2br w:val="nil"/>
              <w:tr2bl w:val="nil"/>
            </w:tcBorders>
            <w:noWrap w:val="0"/>
            <w:vAlign w:val="center"/>
          </w:tcPr>
          <w:p w14:paraId="0AD5D453">
            <w:pPr>
              <w:jc w:val="both"/>
              <w:rPr>
                <w:rFonts w:hint="eastAsia" w:ascii="宋体" w:hAnsi="宋体" w:eastAsia="宋体" w:cs="宋体"/>
                <w:color w:val="auto"/>
                <w:sz w:val="24"/>
                <w:szCs w:val="24"/>
                <w:highlight w:val="none"/>
              </w:rPr>
            </w:pPr>
          </w:p>
        </w:tc>
      </w:tr>
      <w:tr w14:paraId="7807F0B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859" w:hRule="atLeast"/>
        </w:trPr>
        <w:tc>
          <w:tcPr>
            <w:tcW w:w="2391" w:type="dxa"/>
            <w:tcBorders>
              <w:tl2br w:val="nil"/>
              <w:tr2bl w:val="nil"/>
            </w:tcBorders>
            <w:noWrap w:val="0"/>
            <w:vAlign w:val="center"/>
          </w:tcPr>
          <w:p w14:paraId="70DD151D">
            <w:pPr>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开户银行（具体到XX银行XX支行）</w:t>
            </w:r>
          </w:p>
        </w:tc>
        <w:tc>
          <w:tcPr>
            <w:tcW w:w="4024" w:type="dxa"/>
            <w:tcBorders>
              <w:tl2br w:val="nil"/>
              <w:tr2bl w:val="nil"/>
            </w:tcBorders>
            <w:noWrap w:val="0"/>
            <w:vAlign w:val="center"/>
          </w:tcPr>
          <w:p w14:paraId="56B267DB">
            <w:pPr>
              <w:jc w:val="both"/>
              <w:rPr>
                <w:rFonts w:hint="eastAsia" w:ascii="宋体" w:hAnsi="宋体" w:eastAsia="宋体" w:cs="宋体"/>
                <w:color w:val="auto"/>
                <w:sz w:val="24"/>
                <w:szCs w:val="24"/>
                <w:highlight w:val="none"/>
              </w:rPr>
            </w:pPr>
          </w:p>
        </w:tc>
        <w:tc>
          <w:tcPr>
            <w:tcW w:w="1233" w:type="dxa"/>
            <w:tcBorders>
              <w:tl2br w:val="nil"/>
              <w:tr2bl w:val="nil"/>
            </w:tcBorders>
            <w:noWrap w:val="0"/>
            <w:vAlign w:val="center"/>
          </w:tcPr>
          <w:p w14:paraId="20DB77E6">
            <w:pPr>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联系人</w:t>
            </w:r>
          </w:p>
        </w:tc>
        <w:tc>
          <w:tcPr>
            <w:tcW w:w="1917" w:type="dxa"/>
            <w:tcBorders>
              <w:tl2br w:val="nil"/>
              <w:tr2bl w:val="nil"/>
            </w:tcBorders>
            <w:noWrap w:val="0"/>
            <w:vAlign w:val="center"/>
          </w:tcPr>
          <w:p w14:paraId="454E24B7">
            <w:pPr>
              <w:jc w:val="both"/>
              <w:rPr>
                <w:rFonts w:hint="eastAsia" w:ascii="宋体" w:hAnsi="宋体" w:eastAsia="宋体" w:cs="宋体"/>
                <w:color w:val="auto"/>
                <w:sz w:val="24"/>
                <w:szCs w:val="24"/>
                <w:highlight w:val="none"/>
              </w:rPr>
            </w:pPr>
          </w:p>
        </w:tc>
      </w:tr>
      <w:tr w14:paraId="603FCFE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35" w:hRule="atLeast"/>
        </w:trPr>
        <w:tc>
          <w:tcPr>
            <w:tcW w:w="2391" w:type="dxa"/>
            <w:tcBorders>
              <w:tl2br w:val="nil"/>
              <w:tr2bl w:val="nil"/>
            </w:tcBorders>
            <w:noWrap w:val="0"/>
            <w:vAlign w:val="center"/>
          </w:tcPr>
          <w:p w14:paraId="44898D28">
            <w:pPr>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账号</w:t>
            </w:r>
          </w:p>
        </w:tc>
        <w:tc>
          <w:tcPr>
            <w:tcW w:w="4024" w:type="dxa"/>
            <w:tcBorders>
              <w:tl2br w:val="nil"/>
              <w:tr2bl w:val="nil"/>
            </w:tcBorders>
            <w:noWrap w:val="0"/>
            <w:vAlign w:val="center"/>
          </w:tcPr>
          <w:p w14:paraId="4768F736">
            <w:pPr>
              <w:jc w:val="both"/>
              <w:rPr>
                <w:rFonts w:hint="eastAsia" w:ascii="宋体" w:hAnsi="宋体" w:eastAsia="宋体" w:cs="宋体"/>
                <w:color w:val="auto"/>
                <w:sz w:val="24"/>
                <w:szCs w:val="24"/>
                <w:highlight w:val="none"/>
              </w:rPr>
            </w:pPr>
          </w:p>
        </w:tc>
        <w:tc>
          <w:tcPr>
            <w:tcW w:w="1233" w:type="dxa"/>
            <w:tcBorders>
              <w:tl2br w:val="nil"/>
              <w:tr2bl w:val="nil"/>
            </w:tcBorders>
            <w:noWrap w:val="0"/>
            <w:vAlign w:val="center"/>
          </w:tcPr>
          <w:p w14:paraId="49F3F779">
            <w:pPr>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联系电话</w:t>
            </w:r>
          </w:p>
        </w:tc>
        <w:tc>
          <w:tcPr>
            <w:tcW w:w="1917" w:type="dxa"/>
            <w:tcBorders>
              <w:tl2br w:val="nil"/>
              <w:tr2bl w:val="nil"/>
            </w:tcBorders>
            <w:noWrap w:val="0"/>
            <w:vAlign w:val="center"/>
          </w:tcPr>
          <w:p w14:paraId="58CEA120">
            <w:pPr>
              <w:jc w:val="both"/>
              <w:rPr>
                <w:rFonts w:hint="eastAsia" w:ascii="宋体" w:hAnsi="宋体" w:eastAsia="宋体" w:cs="宋体"/>
                <w:color w:val="auto"/>
                <w:sz w:val="24"/>
                <w:szCs w:val="24"/>
                <w:highlight w:val="none"/>
              </w:rPr>
            </w:pPr>
          </w:p>
        </w:tc>
      </w:tr>
    </w:tbl>
    <w:p w14:paraId="18B8D89F">
      <w:pPr>
        <w:spacing w:line="360" w:lineRule="auto"/>
        <w:jc w:val="center"/>
        <w:outlineLvl w:val="2"/>
        <w:rPr>
          <w:rFonts w:hint="eastAsia" w:ascii="宋体" w:hAnsi="宋体" w:eastAsia="宋体" w:cs="宋体"/>
          <w:color w:val="auto"/>
          <w:sz w:val="24"/>
          <w:szCs w:val="24"/>
          <w:highlight w:val="none"/>
        </w:rPr>
      </w:pPr>
      <w:bookmarkStart w:id="134" w:name="_Toc4845"/>
      <w:r>
        <w:rPr>
          <w:rFonts w:hint="eastAsia" w:ascii="宋体" w:hAnsi="宋体" w:eastAsia="宋体" w:cs="宋体"/>
          <w:color w:val="auto"/>
          <w:sz w:val="24"/>
          <w:szCs w:val="24"/>
          <w:highlight w:val="none"/>
        </w:rPr>
        <w:t>注：</w:t>
      </w:r>
      <w:r>
        <w:rPr>
          <w:rFonts w:hint="eastAsia" w:ascii="宋体" w:hAnsi="宋体" w:eastAsia="宋体" w:cs="宋体"/>
          <w:color w:val="auto"/>
          <w:sz w:val="24"/>
          <w:szCs w:val="24"/>
          <w:highlight w:val="none"/>
          <w:lang w:eastAsia="zh-CN"/>
        </w:rPr>
        <w:t>招标</w:t>
      </w:r>
      <w:r>
        <w:rPr>
          <w:rFonts w:hint="eastAsia" w:ascii="宋体" w:hAnsi="宋体" w:eastAsia="宋体" w:cs="宋体"/>
          <w:color w:val="auto"/>
          <w:sz w:val="24"/>
          <w:szCs w:val="24"/>
          <w:highlight w:val="none"/>
        </w:rPr>
        <w:t>代理机构按规定允许退还</w:t>
      </w:r>
      <w:r>
        <w:rPr>
          <w:rFonts w:hint="eastAsia" w:ascii="宋体" w:hAnsi="宋体" w:cs="宋体"/>
          <w:color w:val="auto"/>
          <w:sz w:val="24"/>
          <w:szCs w:val="24"/>
          <w:highlight w:val="none"/>
          <w:lang w:eastAsia="zh-CN"/>
        </w:rPr>
        <w:t>竞投保证金</w:t>
      </w:r>
      <w:r>
        <w:rPr>
          <w:rFonts w:hint="eastAsia" w:ascii="宋体" w:hAnsi="宋体" w:eastAsia="宋体" w:cs="宋体"/>
          <w:color w:val="auto"/>
          <w:sz w:val="24"/>
          <w:szCs w:val="24"/>
          <w:highlight w:val="none"/>
        </w:rPr>
        <w:t>时，将按其提供的“退</w:t>
      </w:r>
      <w:r>
        <w:rPr>
          <w:rFonts w:hint="eastAsia" w:ascii="宋体" w:hAnsi="宋体" w:cs="宋体"/>
          <w:color w:val="auto"/>
          <w:sz w:val="24"/>
          <w:szCs w:val="24"/>
          <w:highlight w:val="none"/>
          <w:lang w:eastAsia="zh-CN"/>
        </w:rPr>
        <w:t>竞投保证金</w:t>
      </w:r>
      <w:r>
        <w:rPr>
          <w:rFonts w:hint="eastAsia" w:ascii="宋体" w:hAnsi="宋体" w:eastAsia="宋体" w:cs="宋体"/>
          <w:color w:val="auto"/>
          <w:sz w:val="24"/>
          <w:szCs w:val="24"/>
          <w:highlight w:val="none"/>
        </w:rPr>
        <w:t>说明”退</w:t>
      </w:r>
      <w:bookmarkEnd w:id="134"/>
    </w:p>
    <w:p w14:paraId="5F2107AE">
      <w:pPr>
        <w:spacing w:line="360" w:lineRule="auto"/>
        <w:jc w:val="both"/>
        <w:outlineLvl w:val="2"/>
        <w:rPr>
          <w:rFonts w:hint="eastAsia"/>
          <w:color w:val="auto"/>
          <w:highlight w:val="none"/>
        </w:rPr>
      </w:pPr>
      <w:bookmarkStart w:id="135" w:name="_Toc18967"/>
      <w:r>
        <w:rPr>
          <w:rFonts w:hint="eastAsia" w:ascii="宋体" w:hAnsi="宋体" w:eastAsia="宋体" w:cs="宋体"/>
          <w:color w:val="auto"/>
          <w:sz w:val="24"/>
          <w:szCs w:val="24"/>
          <w:highlight w:val="none"/>
        </w:rPr>
        <w:t>还</w:t>
      </w:r>
      <w:r>
        <w:rPr>
          <w:rFonts w:hint="eastAsia" w:ascii="宋体" w:hAnsi="宋体" w:cs="宋体"/>
          <w:color w:val="auto"/>
          <w:sz w:val="24"/>
          <w:szCs w:val="24"/>
          <w:highlight w:val="none"/>
          <w:lang w:eastAsia="zh-CN"/>
        </w:rPr>
        <w:t>竞投保证金</w:t>
      </w:r>
      <w:r>
        <w:rPr>
          <w:rFonts w:hint="eastAsia" w:ascii="宋体" w:hAnsi="宋体"/>
          <w:color w:val="auto"/>
          <w:highlight w:val="none"/>
        </w:rPr>
        <w:t>。</w:t>
      </w:r>
      <w:r>
        <w:rPr>
          <w:rFonts w:ascii="宋体"/>
          <w:color w:val="auto"/>
          <w:highlight w:val="none"/>
        </w:rPr>
        <w:br w:type="page"/>
      </w:r>
      <w:bookmarkEnd w:id="135"/>
    </w:p>
    <w:p w14:paraId="51EFEE04">
      <w:pPr>
        <w:spacing w:line="360" w:lineRule="auto"/>
        <w:jc w:val="center"/>
        <w:outlineLvl w:val="2"/>
        <w:rPr>
          <w:rFonts w:ascii="宋体"/>
          <w:b/>
          <w:color w:val="auto"/>
          <w:sz w:val="32"/>
          <w:szCs w:val="32"/>
          <w:highlight w:val="none"/>
        </w:rPr>
      </w:pPr>
      <w:bookmarkStart w:id="136" w:name="_Toc29623"/>
      <w:r>
        <w:rPr>
          <w:rFonts w:hint="eastAsia" w:ascii="宋体" w:hAnsi="宋体" w:eastAsia="宋体" w:cs="Times New Roman"/>
          <w:b/>
          <w:color w:val="auto"/>
          <w:spacing w:val="0"/>
          <w:sz w:val="32"/>
          <w:szCs w:val="32"/>
          <w:highlight w:val="none"/>
          <w:lang w:val="en-US" w:eastAsia="zh-CN"/>
        </w:rPr>
        <w:t>1.</w:t>
      </w:r>
      <w:bookmarkEnd w:id="132"/>
      <w:bookmarkStart w:id="137" w:name="_Toc11487"/>
      <w:bookmarkStart w:id="138" w:name="_Toc28989"/>
      <w:bookmarkStart w:id="139" w:name="_Toc13491"/>
      <w:bookmarkStart w:id="140" w:name="_Toc7712"/>
      <w:bookmarkStart w:id="141" w:name="_Toc27101"/>
      <w:bookmarkStart w:id="142" w:name="_Toc22028"/>
      <w:bookmarkStart w:id="143" w:name="_Toc6596"/>
      <w:r>
        <w:rPr>
          <w:rFonts w:hint="eastAsia" w:ascii="宋体" w:hAnsi="宋体" w:eastAsia="宋体" w:cs="Times New Roman"/>
          <w:b/>
          <w:color w:val="auto"/>
          <w:spacing w:val="0"/>
          <w:sz w:val="32"/>
          <w:szCs w:val="32"/>
          <w:highlight w:val="none"/>
          <w:lang w:val="en-US" w:eastAsia="zh-CN"/>
        </w:rPr>
        <w:t>6</w:t>
      </w:r>
      <w:r>
        <w:rPr>
          <w:rFonts w:hint="eastAsia" w:ascii="宋体" w:hAnsi="宋体"/>
          <w:b/>
          <w:color w:val="auto"/>
          <w:sz w:val="32"/>
          <w:szCs w:val="32"/>
          <w:highlight w:val="none"/>
        </w:rPr>
        <w:t>其他文件资料及说明</w:t>
      </w:r>
      <w:bookmarkEnd w:id="136"/>
      <w:bookmarkEnd w:id="137"/>
      <w:bookmarkEnd w:id="138"/>
      <w:bookmarkEnd w:id="139"/>
      <w:bookmarkEnd w:id="140"/>
      <w:bookmarkEnd w:id="141"/>
      <w:bookmarkEnd w:id="142"/>
      <w:bookmarkEnd w:id="143"/>
    </w:p>
    <w:p w14:paraId="3863BA9E">
      <w:pPr>
        <w:spacing w:line="360" w:lineRule="auto"/>
        <w:rPr>
          <w:rFonts w:ascii="宋体"/>
          <w:color w:val="auto"/>
          <w:sz w:val="24"/>
          <w:highlight w:val="none"/>
        </w:rPr>
      </w:pPr>
    </w:p>
    <w:p w14:paraId="41D7F0FF">
      <w:pPr>
        <w:spacing w:line="480" w:lineRule="auto"/>
        <w:ind w:firstLine="720" w:firstLineChars="240"/>
        <w:rPr>
          <w:rFonts w:hint="eastAsia" w:ascii="宋体" w:hAnsi="宋体"/>
          <w:color w:val="auto"/>
          <w:sz w:val="30"/>
          <w:szCs w:val="30"/>
          <w:highlight w:val="none"/>
        </w:rPr>
      </w:pPr>
      <w:r>
        <w:rPr>
          <w:rFonts w:hint="eastAsia" w:ascii="宋体" w:hAnsi="宋体"/>
          <w:color w:val="auto"/>
          <w:sz w:val="30"/>
          <w:szCs w:val="30"/>
          <w:highlight w:val="none"/>
        </w:rPr>
        <w:t>本节内容为</w:t>
      </w:r>
      <w:r>
        <w:rPr>
          <w:rFonts w:hint="eastAsia" w:ascii="宋体" w:hAnsi="宋体"/>
          <w:color w:val="auto"/>
          <w:sz w:val="30"/>
          <w:szCs w:val="30"/>
          <w:highlight w:val="none"/>
          <w:lang w:eastAsia="zh-CN"/>
        </w:rPr>
        <w:t>投标人</w:t>
      </w:r>
      <w:r>
        <w:rPr>
          <w:rFonts w:hint="eastAsia" w:ascii="宋体" w:hAnsi="宋体"/>
          <w:color w:val="auto"/>
          <w:sz w:val="30"/>
          <w:szCs w:val="30"/>
          <w:highlight w:val="none"/>
        </w:rPr>
        <w:t>认为有必要提供的其他文件材料，因此所提交的内容和编制格式等均不受任何限制，一切递交情况由</w:t>
      </w:r>
      <w:r>
        <w:rPr>
          <w:rFonts w:hint="eastAsia" w:ascii="宋体" w:hAnsi="宋体"/>
          <w:color w:val="auto"/>
          <w:sz w:val="30"/>
          <w:szCs w:val="30"/>
          <w:highlight w:val="none"/>
          <w:lang w:eastAsia="zh-CN"/>
        </w:rPr>
        <w:t>投标人</w:t>
      </w:r>
      <w:r>
        <w:rPr>
          <w:rFonts w:hint="eastAsia" w:ascii="宋体" w:hAnsi="宋体"/>
          <w:color w:val="auto"/>
          <w:sz w:val="30"/>
          <w:szCs w:val="30"/>
          <w:highlight w:val="none"/>
        </w:rPr>
        <w:t>自行决定和设计排版。</w:t>
      </w:r>
    </w:p>
    <w:p w14:paraId="03759085">
      <w:pPr>
        <w:pStyle w:val="6"/>
        <w:rPr>
          <w:rFonts w:hint="eastAsia" w:ascii="宋体" w:hAnsi="宋体"/>
          <w:color w:val="auto"/>
          <w:sz w:val="30"/>
          <w:szCs w:val="30"/>
          <w:highlight w:val="none"/>
        </w:rPr>
      </w:pPr>
    </w:p>
    <w:p w14:paraId="21A2AD1D">
      <w:pPr>
        <w:rPr>
          <w:highlight w:val="none"/>
        </w:rPr>
      </w:pPr>
    </w:p>
    <w:p w14:paraId="3F29681E">
      <w:pPr>
        <w:snapToGrid w:val="0"/>
        <w:spacing w:line="480" w:lineRule="auto"/>
        <w:rPr>
          <w:rFonts w:ascii="宋体"/>
          <w:color w:val="auto"/>
          <w:sz w:val="24"/>
          <w:highlight w:val="none"/>
        </w:rPr>
      </w:pPr>
    </w:p>
    <w:p w14:paraId="167505E5">
      <w:pPr>
        <w:snapToGrid w:val="0"/>
        <w:rPr>
          <w:rFonts w:ascii="宋体"/>
          <w:color w:val="auto"/>
          <w:sz w:val="18"/>
          <w:szCs w:val="18"/>
          <w:highlight w:val="none"/>
        </w:rPr>
      </w:pPr>
      <w:r>
        <w:rPr>
          <w:rFonts w:ascii="宋体"/>
          <w:color w:val="auto"/>
          <w:sz w:val="24"/>
          <w:highlight w:val="none"/>
        </w:rPr>
        <w:br w:type="page"/>
      </w:r>
    </w:p>
    <w:p w14:paraId="61A836FA">
      <w:pPr>
        <w:spacing w:line="360" w:lineRule="auto"/>
        <w:jc w:val="center"/>
        <w:outlineLvl w:val="2"/>
        <w:rPr>
          <w:rFonts w:ascii="宋体"/>
          <w:b/>
          <w:bCs/>
          <w:color w:val="auto"/>
          <w:sz w:val="44"/>
          <w:szCs w:val="44"/>
          <w:highlight w:val="none"/>
        </w:rPr>
      </w:pPr>
      <w:bookmarkStart w:id="144" w:name="_Toc49329276"/>
      <w:bookmarkStart w:id="145" w:name="_Toc22689"/>
      <w:bookmarkStart w:id="146" w:name="_Toc30561"/>
      <w:bookmarkStart w:id="147" w:name="_Toc17774"/>
      <w:bookmarkStart w:id="148" w:name="_Toc374378439"/>
      <w:bookmarkStart w:id="149" w:name="_Toc7194"/>
      <w:bookmarkStart w:id="150" w:name="_Toc334432604"/>
      <w:bookmarkStart w:id="151" w:name="_Toc17925"/>
      <w:bookmarkStart w:id="152" w:name="_Toc16582"/>
      <w:bookmarkStart w:id="153" w:name="_Toc13202"/>
      <w:r>
        <w:rPr>
          <w:rFonts w:hint="eastAsia" w:ascii="宋体" w:hAnsi="宋体"/>
          <w:b/>
          <w:bCs/>
          <w:color w:val="auto"/>
          <w:sz w:val="44"/>
          <w:szCs w:val="44"/>
          <w:highlight w:val="none"/>
        </w:rPr>
        <w:t>文件包装袋</w:t>
      </w:r>
      <w:bookmarkEnd w:id="144"/>
      <w:r>
        <w:rPr>
          <w:rFonts w:hint="eastAsia" w:ascii="宋体" w:hAnsi="宋体"/>
          <w:b/>
          <w:bCs/>
          <w:color w:val="auto"/>
          <w:sz w:val="44"/>
          <w:szCs w:val="44"/>
          <w:highlight w:val="none"/>
        </w:rPr>
        <w:t>封面标贴格式</w:t>
      </w:r>
      <w:bookmarkEnd w:id="145"/>
      <w:bookmarkEnd w:id="146"/>
      <w:bookmarkEnd w:id="147"/>
      <w:bookmarkEnd w:id="148"/>
      <w:bookmarkEnd w:id="149"/>
      <w:bookmarkEnd w:id="150"/>
      <w:bookmarkEnd w:id="151"/>
      <w:bookmarkEnd w:id="152"/>
      <w:bookmarkEnd w:id="153"/>
    </w:p>
    <w:tbl>
      <w:tblPr>
        <w:tblStyle w:val="20"/>
        <w:tblW w:w="9329" w:type="dxa"/>
        <w:jc w:val="center"/>
        <w:tblBorders>
          <w:top w:val="dashSmallGap" w:color="003366" w:sz="2" w:space="0"/>
          <w:left w:val="dashSmallGap" w:color="003366" w:sz="2" w:space="0"/>
          <w:bottom w:val="dashSmallGap" w:color="003366" w:sz="2" w:space="0"/>
          <w:right w:val="dashSmallGap" w:color="003366" w:sz="2" w:space="0"/>
          <w:insideH w:val="dashSmallGap" w:color="003366" w:sz="2" w:space="0"/>
          <w:insideV w:val="dashSmallGap" w:color="003366" w:sz="2" w:space="0"/>
        </w:tblBorders>
        <w:tblLayout w:type="fixed"/>
        <w:tblCellMar>
          <w:top w:w="0" w:type="dxa"/>
          <w:left w:w="108" w:type="dxa"/>
          <w:bottom w:w="0" w:type="dxa"/>
          <w:right w:w="108" w:type="dxa"/>
        </w:tblCellMar>
      </w:tblPr>
      <w:tblGrid>
        <w:gridCol w:w="9329"/>
      </w:tblGrid>
      <w:tr w14:paraId="4AF5C0AF">
        <w:tblPrEx>
          <w:tblBorders>
            <w:top w:val="dashSmallGap" w:color="003366" w:sz="2" w:space="0"/>
            <w:left w:val="dashSmallGap" w:color="003366" w:sz="2" w:space="0"/>
            <w:bottom w:val="dashSmallGap" w:color="003366" w:sz="2" w:space="0"/>
            <w:right w:val="dashSmallGap" w:color="003366" w:sz="2" w:space="0"/>
            <w:insideH w:val="dashSmallGap" w:color="003366" w:sz="2" w:space="0"/>
            <w:insideV w:val="dashSmallGap" w:color="003366" w:sz="2" w:space="0"/>
          </w:tblBorders>
          <w:tblCellMar>
            <w:top w:w="0" w:type="dxa"/>
            <w:left w:w="108" w:type="dxa"/>
            <w:bottom w:w="0" w:type="dxa"/>
            <w:right w:w="108" w:type="dxa"/>
          </w:tblCellMar>
        </w:tblPrEx>
        <w:trPr>
          <w:trHeight w:val="9085" w:hRule="atLeast"/>
          <w:jc w:val="center"/>
        </w:trPr>
        <w:tc>
          <w:tcPr>
            <w:tcW w:w="9329" w:type="dxa"/>
            <w:shd w:val="clear" w:color="auto" w:fill="FFFFFF"/>
            <w:noWrap w:val="0"/>
            <w:vAlign w:val="top"/>
          </w:tcPr>
          <w:p w14:paraId="6A042D88">
            <w:pPr>
              <w:rPr>
                <w:rFonts w:ascii="宋体"/>
                <w:color w:val="auto"/>
                <w:sz w:val="18"/>
                <w:szCs w:val="18"/>
                <w:highlight w:val="none"/>
              </w:rPr>
            </w:pPr>
          </w:p>
          <w:p w14:paraId="09223064">
            <w:pPr>
              <w:jc w:val="center"/>
              <w:rPr>
                <w:rFonts w:ascii="宋体"/>
                <w:b/>
                <w:color w:val="auto"/>
                <w:sz w:val="48"/>
                <w:szCs w:val="48"/>
                <w:highlight w:val="none"/>
              </w:rPr>
            </w:pPr>
          </w:p>
          <w:p w14:paraId="7B57C85B">
            <w:pPr>
              <w:jc w:val="center"/>
              <w:rPr>
                <w:rFonts w:ascii="宋体"/>
                <w:b/>
                <w:bCs/>
                <w:color w:val="auto"/>
                <w:sz w:val="24"/>
                <w:highlight w:val="none"/>
              </w:rPr>
            </w:pPr>
          </w:p>
          <w:p w14:paraId="146A781C">
            <w:pPr>
              <w:jc w:val="center"/>
              <w:rPr>
                <w:rFonts w:ascii="宋体"/>
                <w:b/>
                <w:bCs/>
                <w:color w:val="auto"/>
                <w:sz w:val="24"/>
                <w:highlight w:val="none"/>
                <w:lang w:val="en-GB"/>
              </w:rPr>
            </w:pPr>
          </w:p>
          <w:p w14:paraId="42BEF036">
            <w:pPr>
              <w:jc w:val="center"/>
              <w:rPr>
                <w:rFonts w:ascii="宋体"/>
                <w:b/>
                <w:bCs/>
                <w:color w:val="auto"/>
                <w:sz w:val="24"/>
                <w:highlight w:val="none"/>
                <w:lang w:val="en-GB"/>
              </w:rPr>
            </w:pPr>
          </w:p>
          <w:p w14:paraId="0B0E44D3">
            <w:pPr>
              <w:spacing w:line="360" w:lineRule="auto"/>
              <w:jc w:val="center"/>
              <w:rPr>
                <w:rFonts w:ascii="宋体"/>
                <w:b/>
                <w:bCs/>
                <w:color w:val="auto"/>
                <w:sz w:val="72"/>
                <w:szCs w:val="72"/>
                <w:highlight w:val="none"/>
              </w:rPr>
            </w:pPr>
            <w:r>
              <w:rPr>
                <w:rFonts w:hint="eastAsia" w:ascii="宋体" w:hAnsi="宋体"/>
                <w:b/>
                <w:bCs/>
                <w:color w:val="auto"/>
                <w:sz w:val="72"/>
                <w:szCs w:val="72"/>
                <w:highlight w:val="none"/>
                <w:lang w:eastAsia="zh-CN"/>
              </w:rPr>
              <w:t>资格审查</w:t>
            </w:r>
            <w:r>
              <w:rPr>
                <w:rFonts w:hint="eastAsia" w:ascii="宋体" w:hAnsi="宋体"/>
                <w:b/>
                <w:bCs/>
                <w:color w:val="auto"/>
                <w:sz w:val="72"/>
                <w:szCs w:val="72"/>
                <w:highlight w:val="none"/>
              </w:rPr>
              <w:t>文件</w:t>
            </w:r>
          </w:p>
          <w:p w14:paraId="51D98C70">
            <w:pPr>
              <w:jc w:val="center"/>
              <w:rPr>
                <w:rFonts w:ascii="宋体"/>
                <w:b/>
                <w:bCs/>
                <w:color w:val="auto"/>
                <w:sz w:val="24"/>
                <w:highlight w:val="none"/>
                <w:lang w:val="en-GB"/>
              </w:rPr>
            </w:pPr>
          </w:p>
          <w:p w14:paraId="4A934584">
            <w:pPr>
              <w:spacing w:line="300" w:lineRule="auto"/>
              <w:jc w:val="center"/>
              <w:rPr>
                <w:rFonts w:ascii="宋体"/>
                <w:color w:val="auto"/>
                <w:sz w:val="24"/>
                <w:highlight w:val="none"/>
              </w:rPr>
            </w:pPr>
            <w:r>
              <w:rPr>
                <w:rFonts w:hint="eastAsia" w:ascii="宋体" w:hAnsi="宋体"/>
                <w:bCs/>
                <w:color w:val="auto"/>
                <w:sz w:val="24"/>
                <w:highlight w:val="none"/>
                <w:lang w:val="en-GB"/>
              </w:rPr>
              <w:t>密封内容：</w:t>
            </w:r>
            <w:r>
              <w:rPr>
                <w:rFonts w:hint="eastAsia" w:ascii="宋体" w:hAnsi="宋体"/>
                <w:color w:val="auto"/>
                <w:sz w:val="24"/>
                <w:highlight w:val="none"/>
                <w:lang w:eastAsia="zh-CN"/>
              </w:rPr>
              <w:t>资格审查</w:t>
            </w:r>
            <w:r>
              <w:rPr>
                <w:rFonts w:hint="eastAsia" w:ascii="宋体" w:hAnsi="宋体"/>
                <w:color w:val="auto"/>
                <w:sz w:val="24"/>
                <w:highlight w:val="none"/>
              </w:rPr>
              <w:t>文件（□正本</w:t>
            </w:r>
            <w:r>
              <w:rPr>
                <w:rFonts w:ascii="宋体" w:hAnsi="宋体"/>
                <w:color w:val="auto"/>
                <w:sz w:val="24"/>
                <w:highlight w:val="none"/>
              </w:rPr>
              <w:t>/</w:t>
            </w:r>
            <w:r>
              <w:rPr>
                <w:rFonts w:hint="eastAsia" w:ascii="宋体" w:hAnsi="宋体"/>
                <w:color w:val="auto"/>
                <w:sz w:val="24"/>
                <w:highlight w:val="none"/>
              </w:rPr>
              <w:t>□副本</w:t>
            </w:r>
            <w:r>
              <w:rPr>
                <w:rFonts w:ascii="宋体" w:hAnsi="宋体"/>
                <w:color w:val="auto"/>
                <w:sz w:val="24"/>
                <w:highlight w:val="none"/>
              </w:rPr>
              <w:t>/</w:t>
            </w:r>
            <w:r>
              <w:rPr>
                <w:rFonts w:hint="eastAsia" w:ascii="宋体" w:hAnsi="宋体"/>
                <w:color w:val="auto"/>
                <w:sz w:val="24"/>
                <w:highlight w:val="none"/>
              </w:rPr>
              <w:t>□电子光盘）</w:t>
            </w:r>
          </w:p>
          <w:p w14:paraId="5F8D55B1">
            <w:pPr>
              <w:spacing w:line="360" w:lineRule="auto"/>
              <w:jc w:val="center"/>
              <w:rPr>
                <w:rFonts w:ascii="宋体"/>
                <w:b/>
                <w:color w:val="auto"/>
                <w:szCs w:val="21"/>
                <w:highlight w:val="none"/>
                <w:lang w:val="en-GB"/>
              </w:rPr>
            </w:pPr>
            <w:r>
              <w:rPr>
                <w:rFonts w:hint="eastAsia" w:ascii="宋体" w:hAnsi="宋体"/>
                <w:b/>
                <w:color w:val="auto"/>
                <w:szCs w:val="21"/>
                <w:highlight w:val="none"/>
                <w:lang w:eastAsia="zh-CN"/>
              </w:rPr>
              <w:t>投标人</w:t>
            </w:r>
            <w:r>
              <w:rPr>
                <w:rFonts w:hint="eastAsia" w:ascii="宋体" w:hAnsi="宋体"/>
                <w:b/>
                <w:color w:val="auto"/>
                <w:szCs w:val="21"/>
                <w:highlight w:val="none"/>
                <w:lang w:val="en-GB"/>
              </w:rPr>
              <w:t>于密封前自行对上述资料的密封情况进行自查，并于相应“□”处中打“√”</w:t>
            </w:r>
          </w:p>
          <w:p w14:paraId="41DF07BF">
            <w:pPr>
              <w:ind w:firstLine="2474" w:firstLineChars="1027"/>
              <w:rPr>
                <w:rFonts w:ascii="宋体"/>
                <w:b/>
                <w:color w:val="auto"/>
                <w:sz w:val="24"/>
                <w:szCs w:val="36"/>
                <w:highlight w:val="none"/>
                <w:lang w:val="en-GB"/>
              </w:rPr>
            </w:pPr>
          </w:p>
          <w:p w14:paraId="77BEE9D2">
            <w:pPr>
              <w:spacing w:line="360" w:lineRule="auto"/>
              <w:ind w:right="145" w:rightChars="69"/>
              <w:jc w:val="center"/>
              <w:rPr>
                <w:rFonts w:hint="eastAsia" w:ascii="宋体" w:eastAsia="宋体"/>
                <w:b/>
                <w:color w:val="auto"/>
                <w:sz w:val="24"/>
                <w:highlight w:val="none"/>
                <w:lang w:val="en-GB" w:eastAsia="zh-CN"/>
              </w:rPr>
            </w:pPr>
            <w:r>
              <w:rPr>
                <w:rFonts w:hint="eastAsia" w:ascii="宋体" w:hAnsi="宋体"/>
                <w:b/>
                <w:bCs/>
                <w:color w:val="auto"/>
                <w:sz w:val="24"/>
                <w:highlight w:val="none"/>
              </w:rPr>
              <w:t>项目名称</w:t>
            </w:r>
            <w:r>
              <w:rPr>
                <w:rFonts w:hint="eastAsia" w:ascii="宋体" w:hAnsi="宋体"/>
                <w:b/>
                <w:color w:val="auto"/>
                <w:sz w:val="24"/>
                <w:highlight w:val="none"/>
                <w:lang w:val="en-GB"/>
              </w:rPr>
              <w:t>：</w:t>
            </w:r>
            <w:r>
              <w:rPr>
                <w:rFonts w:hint="eastAsia" w:ascii="宋体" w:hAnsi="宋体"/>
                <w:b/>
                <w:color w:val="auto"/>
                <w:sz w:val="24"/>
                <w:highlight w:val="none"/>
                <w:lang w:val="en-GB" w:eastAsia="zh-CN"/>
              </w:rPr>
              <w:t>吉利邓岗村车辆停放管理服务</w:t>
            </w:r>
          </w:p>
          <w:p w14:paraId="08EA946D">
            <w:pPr>
              <w:ind w:firstLine="1079" w:firstLineChars="448"/>
              <w:rPr>
                <w:b/>
                <w:bCs/>
                <w:color w:val="auto"/>
                <w:sz w:val="24"/>
                <w:highlight w:val="none"/>
              </w:rPr>
            </w:pPr>
          </w:p>
          <w:p w14:paraId="4CDD4649">
            <w:pPr>
              <w:ind w:firstLine="1079" w:firstLineChars="448"/>
              <w:rPr>
                <w:b/>
                <w:bCs/>
                <w:color w:val="auto"/>
                <w:sz w:val="24"/>
                <w:highlight w:val="none"/>
              </w:rPr>
            </w:pPr>
          </w:p>
          <w:p w14:paraId="7651713C">
            <w:pPr>
              <w:ind w:firstLine="1079" w:firstLineChars="448"/>
              <w:rPr>
                <w:b/>
                <w:bCs/>
                <w:color w:val="auto"/>
                <w:sz w:val="24"/>
                <w:highlight w:val="none"/>
              </w:rPr>
            </w:pPr>
          </w:p>
          <w:p w14:paraId="67A24BA4">
            <w:pPr>
              <w:ind w:firstLine="1079" w:firstLineChars="448"/>
              <w:rPr>
                <w:b/>
                <w:bCs/>
                <w:color w:val="auto"/>
                <w:sz w:val="24"/>
                <w:highlight w:val="none"/>
              </w:rPr>
            </w:pPr>
          </w:p>
          <w:p w14:paraId="0FB57560">
            <w:pPr>
              <w:spacing w:line="360" w:lineRule="auto"/>
              <w:jc w:val="center"/>
              <w:rPr>
                <w:rFonts w:ascii="宋体"/>
                <w:bCs/>
                <w:color w:val="auto"/>
                <w:sz w:val="24"/>
                <w:highlight w:val="none"/>
              </w:rPr>
            </w:pPr>
            <w:r>
              <w:rPr>
                <w:rFonts w:hint="eastAsia"/>
                <w:bCs/>
                <w:color w:val="auto"/>
                <w:sz w:val="28"/>
                <w:highlight w:val="none"/>
              </w:rPr>
              <w:t>投标人：</w:t>
            </w:r>
            <w:r>
              <w:rPr>
                <w:rFonts w:ascii="宋体" w:hAnsi="宋体"/>
                <w:bCs/>
                <w:color w:val="auto"/>
                <w:sz w:val="28"/>
                <w:highlight w:val="none"/>
              </w:rPr>
              <w:t>(</w:t>
            </w:r>
            <w:r>
              <w:rPr>
                <w:rFonts w:hint="eastAsia" w:ascii="宋体" w:hAnsi="宋体"/>
                <w:bCs/>
                <w:color w:val="auto"/>
                <w:sz w:val="28"/>
                <w:highlight w:val="none"/>
              </w:rPr>
              <w:t>加盖公章</w:t>
            </w:r>
            <w:r>
              <w:rPr>
                <w:rFonts w:ascii="宋体" w:hAnsi="宋体"/>
                <w:bCs/>
                <w:color w:val="auto"/>
                <w:sz w:val="28"/>
                <w:highlight w:val="none"/>
              </w:rPr>
              <w:t>)</w:t>
            </w:r>
          </w:p>
          <w:p w14:paraId="3F9E1D41">
            <w:pPr>
              <w:jc w:val="center"/>
              <w:rPr>
                <w:rFonts w:ascii="宋体"/>
                <w:bCs/>
                <w:color w:val="auto"/>
                <w:sz w:val="28"/>
                <w:szCs w:val="28"/>
                <w:highlight w:val="none"/>
              </w:rPr>
            </w:pPr>
          </w:p>
          <w:p w14:paraId="2EE81E2E">
            <w:pPr>
              <w:spacing w:after="120" w:afterLines="50"/>
              <w:jc w:val="center"/>
              <w:rPr>
                <w:rFonts w:ascii="宋体"/>
                <w:bCs/>
                <w:color w:val="auto"/>
                <w:sz w:val="28"/>
                <w:szCs w:val="28"/>
                <w:highlight w:val="none"/>
              </w:rPr>
            </w:pPr>
            <w:r>
              <w:rPr>
                <w:rFonts w:hint="eastAsia" w:ascii="宋体" w:hAnsi="宋体"/>
                <w:bCs/>
                <w:color w:val="auto"/>
                <w:sz w:val="28"/>
                <w:szCs w:val="28"/>
                <w:highlight w:val="none"/>
              </w:rPr>
              <w:t>在</w:t>
            </w:r>
            <w:r>
              <w:rPr>
                <w:rFonts w:hint="eastAsia" w:ascii="宋体" w:hAnsi="宋体"/>
                <w:bCs/>
                <w:color w:val="auto"/>
                <w:sz w:val="28"/>
                <w:szCs w:val="28"/>
                <w:highlight w:val="none"/>
                <w:lang w:eastAsia="zh-CN"/>
              </w:rPr>
              <w:t>2024年</w:t>
            </w:r>
            <w:r>
              <w:rPr>
                <w:rFonts w:hint="eastAsia" w:ascii="宋体" w:hAnsi="宋体"/>
                <w:bCs/>
                <w:color w:val="auto"/>
                <w:sz w:val="28"/>
                <w:szCs w:val="28"/>
                <w:highlight w:val="none"/>
              </w:rPr>
              <w:t>月日午：之前不得启封</w:t>
            </w:r>
          </w:p>
          <w:p w14:paraId="60249F7B">
            <w:pPr>
              <w:ind w:firstLine="2800" w:firstLineChars="1000"/>
              <w:rPr>
                <w:rFonts w:ascii="宋体"/>
                <w:bCs/>
                <w:color w:val="auto"/>
                <w:sz w:val="28"/>
                <w:szCs w:val="28"/>
                <w:highlight w:val="none"/>
              </w:rPr>
            </w:pPr>
          </w:p>
          <w:p w14:paraId="722BAA65">
            <w:pPr>
              <w:ind w:firstLine="1400" w:firstLineChars="500"/>
              <w:rPr>
                <w:rFonts w:hint="eastAsia" w:ascii="宋体" w:eastAsia="宋体"/>
                <w:color w:val="auto"/>
                <w:sz w:val="24"/>
                <w:highlight w:val="none"/>
                <w:u w:val="single"/>
                <w:lang w:eastAsia="zh-CN"/>
              </w:rPr>
            </w:pPr>
            <w:r>
              <w:rPr>
                <w:rFonts w:hint="eastAsia" w:ascii="宋体" w:hAnsi="宋体"/>
                <w:bCs/>
                <w:color w:val="auto"/>
                <w:sz w:val="28"/>
                <w:szCs w:val="28"/>
                <w:highlight w:val="none"/>
              </w:rPr>
              <w:t>递交地点：</w:t>
            </w:r>
          </w:p>
        </w:tc>
      </w:tr>
    </w:tbl>
    <w:p w14:paraId="0832BEC6">
      <w:pPr>
        <w:spacing w:before="120" w:beforeLines="50" w:line="360" w:lineRule="auto"/>
        <w:ind w:left="181"/>
        <w:rPr>
          <w:rFonts w:ascii="宋体"/>
          <w:b/>
          <w:bCs/>
          <w:color w:val="auto"/>
          <w:sz w:val="24"/>
          <w:highlight w:val="none"/>
          <w:lang w:val="en-GB"/>
        </w:rPr>
      </w:pPr>
    </w:p>
    <w:p w14:paraId="013553F2">
      <w:pPr>
        <w:numPr>
          <w:ilvl w:val="0"/>
          <w:numId w:val="50"/>
        </w:numPr>
        <w:spacing w:before="120" w:beforeLines="50" w:line="360" w:lineRule="auto"/>
        <w:ind w:left="601"/>
        <w:rPr>
          <w:rFonts w:hint="eastAsia" w:ascii="宋体" w:hAnsi="宋体" w:eastAsia="宋体" w:cs="宋体"/>
          <w:b/>
          <w:bCs/>
          <w:color w:val="auto"/>
          <w:sz w:val="24"/>
          <w:highlight w:val="none"/>
          <w:lang w:val="en-GB"/>
        </w:rPr>
      </w:pPr>
      <w:r>
        <w:rPr>
          <w:rFonts w:hint="eastAsia" w:ascii="宋体" w:hAnsi="宋体" w:eastAsia="宋体" w:cs="宋体"/>
          <w:b/>
          <w:bCs/>
          <w:color w:val="auto"/>
          <w:sz w:val="24"/>
          <w:highlight w:val="none"/>
          <w:lang w:val="en-GB"/>
        </w:rPr>
        <w:t>重要提示：</w:t>
      </w:r>
    </w:p>
    <w:p w14:paraId="16C2D647">
      <w:pPr>
        <w:numPr>
          <w:ilvl w:val="0"/>
          <w:numId w:val="51"/>
        </w:numPr>
        <w:tabs>
          <w:tab w:val="left" w:pos="900"/>
          <w:tab w:val="clear" w:pos="780"/>
        </w:tabs>
        <w:spacing w:line="360" w:lineRule="auto"/>
        <w:ind w:left="538" w:leftChars="256"/>
        <w:rPr>
          <w:rFonts w:hint="eastAsia" w:ascii="宋体" w:hAnsi="宋体" w:eastAsia="宋体" w:cs="宋体"/>
          <w:color w:val="auto"/>
          <w:sz w:val="24"/>
          <w:highlight w:val="none"/>
          <w:lang w:val="en-GB"/>
        </w:rPr>
      </w:pPr>
      <w:r>
        <w:rPr>
          <w:rFonts w:hint="eastAsia" w:ascii="宋体" w:hAnsi="宋体" w:eastAsia="宋体" w:cs="宋体"/>
          <w:color w:val="auto"/>
          <w:sz w:val="24"/>
          <w:highlight w:val="none"/>
          <w:lang w:val="en-GB" w:eastAsia="zh-CN"/>
        </w:rPr>
        <w:t>资格审查</w:t>
      </w:r>
      <w:r>
        <w:rPr>
          <w:rFonts w:hint="eastAsia" w:ascii="宋体" w:hAnsi="宋体" w:eastAsia="宋体" w:cs="宋体"/>
          <w:color w:val="auto"/>
          <w:sz w:val="24"/>
          <w:highlight w:val="none"/>
          <w:lang w:val="en-GB"/>
        </w:rPr>
        <w:t>文件的正本、副本、电子光盘，均应密封在同一密封包中。若上述资料确实无法密封在同一密封包中，则可按实际情况分开密封，但须在密封包装上标明密封内容。</w:t>
      </w:r>
    </w:p>
    <w:p w14:paraId="32F41098">
      <w:pPr>
        <w:numPr>
          <w:ilvl w:val="0"/>
          <w:numId w:val="51"/>
        </w:numPr>
        <w:tabs>
          <w:tab w:val="left" w:pos="900"/>
          <w:tab w:val="clear" w:pos="780"/>
        </w:tabs>
        <w:spacing w:line="360" w:lineRule="auto"/>
        <w:ind w:left="538" w:leftChars="256"/>
        <w:rPr>
          <w:rFonts w:hint="eastAsia" w:ascii="宋体" w:hAnsi="宋体" w:eastAsia="宋体" w:cs="宋体"/>
          <w:color w:val="auto"/>
          <w:sz w:val="24"/>
          <w:highlight w:val="none"/>
          <w:lang w:val="en-GB"/>
        </w:rPr>
      </w:pPr>
      <w:r>
        <w:rPr>
          <w:rFonts w:hint="eastAsia" w:ascii="宋体" w:hAnsi="宋体" w:eastAsia="宋体" w:cs="宋体"/>
          <w:color w:val="auto"/>
          <w:sz w:val="24"/>
          <w:highlight w:val="none"/>
          <w:lang w:val="en-GB"/>
        </w:rPr>
        <w:t>密封各文件资料时，应</w:t>
      </w:r>
      <w:r>
        <w:rPr>
          <w:rFonts w:hint="eastAsia" w:ascii="宋体" w:hAnsi="宋体" w:eastAsia="宋体" w:cs="宋体"/>
          <w:color w:val="auto"/>
          <w:sz w:val="24"/>
          <w:highlight w:val="none"/>
          <w:u w:val="single"/>
          <w:lang w:val="en-GB"/>
        </w:rPr>
        <w:t>在密封包装的封口</w:t>
      </w:r>
      <w:r>
        <w:rPr>
          <w:rFonts w:hint="eastAsia" w:ascii="宋体" w:hAnsi="宋体" w:eastAsia="宋体" w:cs="宋体"/>
          <w:color w:val="auto"/>
          <w:sz w:val="24"/>
          <w:highlight w:val="none"/>
          <w:lang w:val="en-GB"/>
        </w:rPr>
        <w:t>处加盖</w:t>
      </w:r>
      <w:r>
        <w:rPr>
          <w:rFonts w:hint="eastAsia" w:ascii="宋体" w:hAnsi="宋体" w:eastAsia="宋体" w:cs="宋体"/>
          <w:color w:val="auto"/>
          <w:sz w:val="24"/>
          <w:highlight w:val="none"/>
          <w:lang w:val="en-GB" w:eastAsia="zh-CN"/>
        </w:rPr>
        <w:t>投标人</w:t>
      </w:r>
      <w:r>
        <w:rPr>
          <w:rFonts w:hint="eastAsia" w:ascii="宋体" w:hAnsi="宋体" w:eastAsia="宋体" w:cs="宋体"/>
          <w:color w:val="auto"/>
          <w:sz w:val="24"/>
          <w:highlight w:val="none"/>
          <w:lang w:val="en-GB"/>
        </w:rPr>
        <w:t>公章。</w:t>
      </w:r>
    </w:p>
    <w:p w14:paraId="6D5D981C">
      <w:pPr>
        <w:numPr>
          <w:ilvl w:val="0"/>
          <w:numId w:val="51"/>
        </w:numPr>
        <w:tabs>
          <w:tab w:val="left" w:pos="900"/>
          <w:tab w:val="clear" w:pos="780"/>
        </w:tabs>
        <w:spacing w:line="360" w:lineRule="auto"/>
        <w:ind w:left="601" w:leftChars="257" w:hanging="61"/>
        <w:rPr>
          <w:rFonts w:hint="eastAsia" w:ascii="宋体" w:hAnsi="宋体" w:eastAsia="宋体" w:cs="宋体"/>
          <w:color w:val="auto"/>
          <w:sz w:val="24"/>
          <w:highlight w:val="none"/>
          <w:lang w:val="en-GB"/>
        </w:rPr>
      </w:pPr>
      <w:r>
        <w:rPr>
          <w:rFonts w:hint="eastAsia" w:ascii="宋体" w:hAnsi="宋体" w:eastAsia="宋体" w:cs="宋体"/>
          <w:color w:val="auto"/>
          <w:sz w:val="24"/>
          <w:highlight w:val="none"/>
          <w:lang w:val="en-GB"/>
        </w:rPr>
        <w:t>因交通或有不便，递交</w:t>
      </w:r>
      <w:r>
        <w:rPr>
          <w:rFonts w:hint="eastAsia" w:ascii="宋体" w:hAnsi="宋体" w:eastAsia="宋体" w:cs="宋体"/>
          <w:color w:val="auto"/>
          <w:sz w:val="24"/>
          <w:highlight w:val="none"/>
          <w:lang w:val="en-GB" w:eastAsia="zh-CN"/>
        </w:rPr>
        <w:t>竞投</w:t>
      </w:r>
      <w:r>
        <w:rPr>
          <w:rFonts w:hint="eastAsia" w:ascii="宋体" w:hAnsi="宋体" w:eastAsia="宋体" w:cs="宋体"/>
          <w:color w:val="auto"/>
          <w:sz w:val="24"/>
          <w:highlight w:val="none"/>
          <w:lang w:val="en-GB"/>
        </w:rPr>
        <w:t>文件时务请</w:t>
      </w:r>
      <w:r>
        <w:rPr>
          <w:rFonts w:hint="eastAsia" w:ascii="宋体" w:hAnsi="宋体" w:eastAsia="宋体" w:cs="宋体"/>
          <w:b/>
          <w:color w:val="auto"/>
          <w:sz w:val="24"/>
          <w:highlight w:val="none"/>
          <w:u w:val="single"/>
          <w:lang w:val="en-GB"/>
        </w:rPr>
        <w:t>提早到达</w:t>
      </w:r>
      <w:r>
        <w:rPr>
          <w:rFonts w:hint="eastAsia" w:ascii="宋体" w:hAnsi="宋体" w:eastAsia="宋体" w:cs="宋体"/>
          <w:color w:val="auto"/>
          <w:sz w:val="24"/>
          <w:highlight w:val="none"/>
          <w:lang w:val="en-GB"/>
        </w:rPr>
        <w:t>！</w:t>
      </w:r>
    </w:p>
    <w:p w14:paraId="43902194">
      <w:pPr>
        <w:pStyle w:val="6"/>
        <w:rPr>
          <w:rFonts w:hint="eastAsia" w:ascii="宋体" w:hAnsi="宋体"/>
          <w:color w:val="auto"/>
          <w:sz w:val="24"/>
          <w:highlight w:val="none"/>
          <w:lang w:val="en-GB"/>
        </w:rPr>
      </w:pPr>
    </w:p>
    <w:p w14:paraId="601DE18E">
      <w:pPr>
        <w:rPr>
          <w:rFonts w:hint="eastAsia" w:ascii="宋体" w:hAnsi="宋体"/>
          <w:color w:val="auto"/>
          <w:sz w:val="24"/>
          <w:highlight w:val="none"/>
          <w:lang w:val="en-GB"/>
        </w:rPr>
      </w:pPr>
    </w:p>
    <w:p w14:paraId="22A99BAD">
      <w:pPr>
        <w:pStyle w:val="6"/>
        <w:rPr>
          <w:rFonts w:hint="eastAsia" w:ascii="宋体" w:hAnsi="宋体"/>
          <w:color w:val="auto"/>
          <w:sz w:val="24"/>
          <w:highlight w:val="none"/>
          <w:lang w:val="en-GB"/>
        </w:rPr>
        <w:sectPr>
          <w:headerReference r:id="rId6" w:type="default"/>
          <w:footerReference r:id="rId7" w:type="default"/>
          <w:pgSz w:w="11850" w:h="16783"/>
          <w:pgMar w:top="1134" w:right="1134" w:bottom="1134" w:left="1417" w:header="573" w:footer="584" w:gutter="0"/>
          <w:pgBorders>
            <w:top w:val="none" w:sz="0" w:space="0"/>
            <w:left w:val="none" w:sz="0" w:space="0"/>
            <w:bottom w:val="none" w:sz="0" w:space="0"/>
            <w:right w:val="none" w:sz="0" w:space="0"/>
          </w:pgBorders>
          <w:pgNumType w:fmt="decimal"/>
          <w:cols w:space="0" w:num="1"/>
          <w:rtlGutter w:val="0"/>
          <w:docGrid w:linePitch="312" w:charSpace="0"/>
        </w:sectPr>
      </w:pPr>
    </w:p>
    <w:p w14:paraId="0F180E1A">
      <w:pPr>
        <w:rPr>
          <w:rFonts w:hint="eastAsia" w:asciiTheme="minorEastAsia" w:hAnsiTheme="minorEastAsia" w:eastAsiaTheme="minorEastAsia" w:cstheme="minorEastAsia"/>
          <w:highlight w:val="none"/>
          <w:lang w:val="en-GB"/>
        </w:rPr>
      </w:pPr>
    </w:p>
    <w:p w14:paraId="047A8504">
      <w:pPr>
        <w:pStyle w:val="42"/>
        <w:jc w:val="center"/>
        <w:outlineLvl w:val="1"/>
        <w:rPr>
          <w:rFonts w:hint="eastAsia" w:asciiTheme="minorEastAsia" w:hAnsiTheme="minorEastAsia" w:eastAsiaTheme="minorEastAsia" w:cstheme="minorEastAsia"/>
          <w:highlight w:val="none"/>
          <w:lang w:eastAsia="zh-CN"/>
        </w:rPr>
      </w:pPr>
      <w:bookmarkStart w:id="154" w:name="_Toc28855"/>
      <w:r>
        <w:rPr>
          <w:rFonts w:hint="eastAsia" w:asciiTheme="minorEastAsia" w:hAnsiTheme="minorEastAsia" w:eastAsiaTheme="minorEastAsia" w:cstheme="minorEastAsia"/>
          <w:highlight w:val="none"/>
          <w:lang w:eastAsia="zh-CN"/>
        </w:rPr>
        <w:t>报价书</w:t>
      </w:r>
      <w:bookmarkEnd w:id="154"/>
    </w:p>
    <w:p w14:paraId="4B5F6C51">
      <w:pPr>
        <w:pStyle w:val="43"/>
        <w:tabs>
          <w:tab w:val="left" w:pos="5460"/>
        </w:tabs>
        <w:spacing w:line="360" w:lineRule="auto"/>
        <w:jc w:val="left"/>
        <w:rPr>
          <w:rFonts w:hint="eastAsia" w:asciiTheme="minorEastAsia" w:hAnsiTheme="minorEastAsia" w:eastAsiaTheme="minorEastAsia" w:cstheme="minorEastAsia"/>
          <w:bCs/>
          <w:highlight w:val="none"/>
          <w:lang w:val="en-US" w:eastAsia="zh-CN"/>
        </w:rPr>
      </w:pPr>
    </w:p>
    <w:p w14:paraId="458E6D24">
      <w:pPr>
        <w:pStyle w:val="43"/>
        <w:tabs>
          <w:tab w:val="left" w:pos="5460"/>
        </w:tabs>
        <w:spacing w:line="360" w:lineRule="auto"/>
        <w:jc w:val="left"/>
        <w:rPr>
          <w:rFonts w:hint="eastAsia" w:asciiTheme="minorEastAsia" w:hAnsiTheme="minorEastAsia" w:eastAsiaTheme="minorEastAsia" w:cstheme="minorEastAsia"/>
          <w:bCs/>
          <w:sz w:val="24"/>
          <w:szCs w:val="24"/>
          <w:highlight w:val="none"/>
          <w:lang w:val="en-US" w:eastAsia="zh-CN"/>
        </w:rPr>
      </w:pPr>
      <w:r>
        <w:rPr>
          <w:rFonts w:hint="eastAsia" w:asciiTheme="minorEastAsia" w:hAnsiTheme="minorEastAsia" w:eastAsiaTheme="minorEastAsia" w:cstheme="minorEastAsia"/>
          <w:bCs/>
          <w:sz w:val="24"/>
          <w:szCs w:val="24"/>
          <w:highlight w:val="none"/>
          <w:lang w:val="en-US" w:eastAsia="zh-CN"/>
        </w:rPr>
        <w:t>项目名称：吉利邓岗村车辆停放管理服务</w:t>
      </w:r>
    </w:p>
    <w:p w14:paraId="27647762">
      <w:pPr>
        <w:pStyle w:val="43"/>
        <w:tabs>
          <w:tab w:val="left" w:pos="5460"/>
        </w:tabs>
        <w:spacing w:line="360" w:lineRule="auto"/>
        <w:jc w:val="left"/>
        <w:rPr>
          <w:rFonts w:hint="eastAsia" w:asciiTheme="minorEastAsia" w:hAnsiTheme="minorEastAsia" w:eastAsiaTheme="minorEastAsia" w:cstheme="minorEastAsia"/>
          <w:sz w:val="24"/>
          <w:szCs w:val="24"/>
          <w:highlight w:val="none"/>
          <w:lang w:val="en-US" w:eastAsia="zh-CN"/>
        </w:rPr>
      </w:pPr>
      <w:r>
        <w:rPr>
          <w:rFonts w:hint="eastAsia" w:asciiTheme="minorEastAsia" w:hAnsiTheme="minorEastAsia" w:eastAsiaTheme="minorEastAsia" w:cstheme="minorEastAsia"/>
          <w:sz w:val="24"/>
          <w:szCs w:val="24"/>
          <w:highlight w:val="none"/>
          <w:lang w:val="en-US" w:eastAsia="zh-CN"/>
        </w:rPr>
        <w:t>交易编号：GDZC-24JT197</w:t>
      </w:r>
    </w:p>
    <w:p w14:paraId="0B643BA4">
      <w:pPr>
        <w:pStyle w:val="43"/>
        <w:tabs>
          <w:tab w:val="left" w:pos="5460"/>
        </w:tabs>
        <w:spacing w:line="360" w:lineRule="auto"/>
        <w:jc w:val="left"/>
        <w:rPr>
          <w:rFonts w:hint="eastAsia" w:asciiTheme="minorEastAsia" w:hAnsiTheme="minorEastAsia" w:eastAsiaTheme="minorEastAsia" w:cstheme="minorEastAsia"/>
          <w:sz w:val="24"/>
          <w:szCs w:val="24"/>
          <w:highlight w:val="none"/>
          <w:lang w:val="en-US" w:eastAsia="zh-CN"/>
        </w:rPr>
      </w:pPr>
    </w:p>
    <w:p w14:paraId="7515D73E">
      <w:pPr>
        <w:pStyle w:val="43"/>
        <w:tabs>
          <w:tab w:val="left" w:pos="5460"/>
        </w:tabs>
        <w:spacing w:line="360" w:lineRule="auto"/>
        <w:jc w:val="left"/>
        <w:rPr>
          <w:rFonts w:hint="eastAsia" w:asciiTheme="minorEastAsia" w:hAnsiTheme="minorEastAsia" w:eastAsiaTheme="minorEastAsia" w:cstheme="minorEastAsia"/>
          <w:sz w:val="24"/>
          <w:szCs w:val="24"/>
          <w:highlight w:val="none"/>
          <w:lang w:val="en-US" w:eastAsia="zh-CN"/>
        </w:rPr>
      </w:pPr>
      <w:r>
        <w:rPr>
          <w:rFonts w:hint="eastAsia" w:asciiTheme="minorEastAsia" w:hAnsiTheme="minorEastAsia" w:eastAsiaTheme="minorEastAsia" w:cstheme="minorEastAsia"/>
          <w:sz w:val="24"/>
          <w:szCs w:val="24"/>
          <w:highlight w:val="none"/>
          <w:lang w:val="en-US" w:eastAsia="zh-CN"/>
        </w:rPr>
        <w:fldChar w:fldCharType="begin"/>
      </w:r>
      <w:r>
        <w:rPr>
          <w:rFonts w:hint="eastAsia" w:asciiTheme="minorEastAsia" w:hAnsiTheme="minorEastAsia" w:eastAsiaTheme="minorEastAsia" w:cstheme="minorEastAsia"/>
          <w:sz w:val="24"/>
          <w:szCs w:val="24"/>
          <w:highlight w:val="none"/>
          <w:lang w:val="en-US" w:eastAsia="zh-CN"/>
        </w:rPr>
        <w:instrText xml:space="preserve"> DOCVARIABLE  采购编号  \* MERGEFORMAT </w:instrText>
      </w:r>
      <w:r>
        <w:rPr>
          <w:rFonts w:hint="eastAsia" w:asciiTheme="minorEastAsia" w:hAnsiTheme="minorEastAsia" w:eastAsiaTheme="minorEastAsia" w:cstheme="minorEastAsia"/>
          <w:sz w:val="24"/>
          <w:szCs w:val="24"/>
          <w:highlight w:val="none"/>
          <w:lang w:val="en-US" w:eastAsia="zh-CN"/>
        </w:rPr>
        <w:fldChar w:fldCharType="end"/>
      </w:r>
    </w:p>
    <w:tbl>
      <w:tblPr>
        <w:tblStyle w:val="20"/>
        <w:tblW w:w="9478" w:type="dxa"/>
        <w:tblInd w:w="0"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
      <w:tblGrid>
        <w:gridCol w:w="703"/>
        <w:gridCol w:w="2961"/>
        <w:gridCol w:w="2218"/>
        <w:gridCol w:w="1676"/>
        <w:gridCol w:w="1920"/>
      </w:tblGrid>
      <w:tr w14:paraId="2FC27CB1">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764" w:hRule="atLeast"/>
        </w:trPr>
        <w:tc>
          <w:tcPr>
            <w:tcW w:w="703" w:type="dxa"/>
            <w:tcBorders>
              <w:top w:val="single" w:color="auto" w:sz="4" w:space="0"/>
              <w:left w:val="single" w:color="auto" w:sz="4" w:space="0"/>
              <w:bottom w:val="single" w:color="auto" w:sz="4" w:space="0"/>
              <w:right w:val="single" w:color="auto" w:sz="4" w:space="0"/>
            </w:tcBorders>
            <w:noWrap w:val="0"/>
            <w:vAlign w:val="center"/>
          </w:tcPr>
          <w:p w14:paraId="15B940BE">
            <w:pPr>
              <w:widowControl/>
              <w:jc w:val="left"/>
              <w:rPr>
                <w:rFonts w:hint="eastAsia" w:asciiTheme="minorEastAsia" w:hAnsiTheme="minorEastAsia" w:eastAsiaTheme="minorEastAsia" w:cstheme="minorEastAsia"/>
                <w:sz w:val="24"/>
                <w:szCs w:val="24"/>
                <w:highlight w:val="none"/>
                <w:lang w:eastAsia="zh-CN"/>
              </w:rPr>
            </w:pPr>
            <w:bookmarkStart w:id="155" w:name="EB508be0ed3e2c4bca83ef604bb8ace262"/>
            <w:r>
              <w:rPr>
                <w:rFonts w:hint="eastAsia" w:asciiTheme="minorEastAsia" w:hAnsiTheme="minorEastAsia" w:eastAsiaTheme="minorEastAsia" w:cstheme="minorEastAsia"/>
                <w:kern w:val="0"/>
                <w:sz w:val="24"/>
                <w:szCs w:val="24"/>
                <w:highlight w:val="none"/>
                <w:lang w:bidi="ar"/>
              </w:rPr>
              <w:t>序号</w:t>
            </w:r>
          </w:p>
        </w:tc>
        <w:tc>
          <w:tcPr>
            <w:tcW w:w="2961" w:type="dxa"/>
            <w:tcBorders>
              <w:top w:val="single" w:color="auto" w:sz="4" w:space="0"/>
              <w:left w:val="single" w:color="auto" w:sz="4" w:space="0"/>
              <w:bottom w:val="single" w:color="auto" w:sz="4" w:space="0"/>
              <w:right w:val="single" w:color="auto" w:sz="4" w:space="0"/>
            </w:tcBorders>
            <w:noWrap w:val="0"/>
            <w:vAlign w:val="center"/>
          </w:tcPr>
          <w:p w14:paraId="0DEEE316">
            <w:pPr>
              <w:widowControl/>
              <w:jc w:val="center"/>
              <w:rPr>
                <w:rFonts w:hint="eastAsia"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kern w:val="0"/>
                <w:sz w:val="24"/>
                <w:szCs w:val="24"/>
                <w:highlight w:val="none"/>
                <w:lang w:bidi="ar"/>
              </w:rPr>
              <w:t>采购项目名称</w:t>
            </w:r>
          </w:p>
        </w:tc>
        <w:tc>
          <w:tcPr>
            <w:tcW w:w="2218" w:type="dxa"/>
            <w:tcBorders>
              <w:top w:val="single" w:color="auto" w:sz="4" w:space="0"/>
              <w:left w:val="single" w:color="auto" w:sz="4" w:space="0"/>
              <w:bottom w:val="single" w:color="auto" w:sz="4" w:space="0"/>
              <w:right w:val="single" w:color="auto" w:sz="4" w:space="0"/>
            </w:tcBorders>
            <w:noWrap w:val="0"/>
            <w:vAlign w:val="center"/>
          </w:tcPr>
          <w:p w14:paraId="1AC36DB1">
            <w:pPr>
              <w:widowControl/>
              <w:jc w:val="center"/>
              <w:rPr>
                <w:rFonts w:hint="eastAsia" w:asciiTheme="minorEastAsia" w:hAnsiTheme="minorEastAsia" w:eastAsiaTheme="minorEastAsia" w:cstheme="minorEastAsia"/>
                <w:kern w:val="0"/>
                <w:sz w:val="24"/>
                <w:szCs w:val="24"/>
                <w:highlight w:val="none"/>
                <w:lang w:bidi="ar"/>
              </w:rPr>
            </w:pPr>
            <w:r>
              <w:rPr>
                <w:rFonts w:hint="eastAsia" w:asciiTheme="minorEastAsia" w:hAnsiTheme="minorEastAsia" w:eastAsiaTheme="minorEastAsia" w:cstheme="minorEastAsia"/>
                <w:kern w:val="0"/>
                <w:sz w:val="24"/>
                <w:szCs w:val="24"/>
                <w:highlight w:val="none"/>
                <w:lang w:bidi="ar"/>
              </w:rPr>
              <w:t>投标报价</w:t>
            </w:r>
          </w:p>
          <w:p w14:paraId="0E9B3C1E">
            <w:pPr>
              <w:widowControl/>
              <w:jc w:val="center"/>
              <w:rPr>
                <w:rFonts w:hint="default" w:asciiTheme="minorEastAsia" w:hAnsiTheme="minorEastAsia" w:eastAsiaTheme="minorEastAsia" w:cstheme="minorEastAsia"/>
                <w:sz w:val="24"/>
                <w:szCs w:val="24"/>
                <w:highlight w:val="none"/>
                <w:lang w:val="en-US" w:eastAsia="zh-CN"/>
              </w:rPr>
            </w:pPr>
            <w:r>
              <w:rPr>
                <w:rFonts w:hint="eastAsia" w:asciiTheme="minorEastAsia" w:hAnsiTheme="minorEastAsia" w:eastAsiaTheme="minorEastAsia" w:cstheme="minorEastAsia"/>
                <w:kern w:val="0"/>
                <w:sz w:val="24"/>
                <w:szCs w:val="24"/>
                <w:highlight w:val="none"/>
                <w:lang w:val="en-US" w:eastAsia="zh-CN" w:bidi="ar"/>
              </w:rPr>
              <w:t>首年</w:t>
            </w:r>
            <w:r>
              <w:rPr>
                <w:rFonts w:hint="eastAsia" w:asciiTheme="minorEastAsia" w:hAnsiTheme="minorEastAsia" w:eastAsiaTheme="minorEastAsia" w:cstheme="minorEastAsia"/>
                <w:kern w:val="0"/>
                <w:sz w:val="24"/>
                <w:szCs w:val="24"/>
                <w:highlight w:val="none"/>
                <w:lang w:bidi="ar"/>
              </w:rPr>
              <w:t>（元）</w:t>
            </w:r>
            <w:r>
              <w:rPr>
                <w:rFonts w:hint="eastAsia" w:asciiTheme="minorEastAsia" w:hAnsiTheme="minorEastAsia" w:eastAsiaTheme="minorEastAsia" w:cstheme="minorEastAsia"/>
                <w:kern w:val="0"/>
                <w:sz w:val="24"/>
                <w:szCs w:val="24"/>
                <w:highlight w:val="none"/>
                <w:lang w:val="en-US" w:eastAsia="zh-CN" w:bidi="ar"/>
              </w:rPr>
              <w:t>/年</w:t>
            </w:r>
          </w:p>
        </w:tc>
        <w:tc>
          <w:tcPr>
            <w:tcW w:w="1676" w:type="dxa"/>
            <w:tcBorders>
              <w:top w:val="single" w:color="auto" w:sz="4" w:space="0"/>
              <w:left w:val="single" w:color="auto" w:sz="4" w:space="0"/>
              <w:bottom w:val="single" w:color="auto" w:sz="4" w:space="0"/>
              <w:right w:val="single" w:color="auto" w:sz="4" w:space="0"/>
            </w:tcBorders>
            <w:noWrap w:val="0"/>
            <w:vAlign w:val="center"/>
          </w:tcPr>
          <w:p w14:paraId="46A32186">
            <w:pPr>
              <w:widowControl/>
              <w:jc w:val="center"/>
              <w:rPr>
                <w:rFonts w:hint="eastAsia"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kern w:val="0"/>
                <w:sz w:val="24"/>
                <w:szCs w:val="24"/>
                <w:highlight w:val="none"/>
                <w:lang w:eastAsia="zh-CN" w:bidi="ar"/>
              </w:rPr>
              <w:t>服务期</w:t>
            </w:r>
          </w:p>
        </w:tc>
        <w:tc>
          <w:tcPr>
            <w:tcW w:w="1920" w:type="dxa"/>
            <w:tcBorders>
              <w:top w:val="single" w:color="auto" w:sz="4" w:space="0"/>
              <w:left w:val="single" w:color="auto" w:sz="4" w:space="0"/>
              <w:bottom w:val="single" w:color="auto" w:sz="4" w:space="0"/>
              <w:right w:val="single" w:color="auto" w:sz="4" w:space="0"/>
            </w:tcBorders>
            <w:noWrap w:val="0"/>
            <w:vAlign w:val="center"/>
          </w:tcPr>
          <w:p w14:paraId="3171152E">
            <w:pPr>
              <w:widowControl/>
              <w:jc w:val="center"/>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kern w:val="0"/>
                <w:sz w:val="24"/>
                <w:szCs w:val="24"/>
                <w:highlight w:val="none"/>
                <w:lang w:bidi="ar"/>
              </w:rPr>
              <w:t>备注</w:t>
            </w:r>
          </w:p>
        </w:tc>
      </w:tr>
      <w:tr w14:paraId="333E7917">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826" w:hRule="atLeast"/>
        </w:trPr>
        <w:tc>
          <w:tcPr>
            <w:tcW w:w="703" w:type="dxa"/>
            <w:tcBorders>
              <w:top w:val="single" w:color="auto" w:sz="4" w:space="0"/>
              <w:left w:val="single" w:color="auto" w:sz="4" w:space="0"/>
              <w:bottom w:val="single" w:color="auto" w:sz="4" w:space="0"/>
              <w:right w:val="single" w:color="auto" w:sz="4" w:space="0"/>
            </w:tcBorders>
            <w:noWrap w:val="0"/>
            <w:vAlign w:val="center"/>
          </w:tcPr>
          <w:p w14:paraId="2C99AC13">
            <w:pPr>
              <w:widowControl/>
              <w:jc w:val="center"/>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1</w:t>
            </w:r>
          </w:p>
        </w:tc>
        <w:tc>
          <w:tcPr>
            <w:tcW w:w="2961" w:type="dxa"/>
            <w:noWrap w:val="0"/>
            <w:vAlign w:val="center"/>
          </w:tcPr>
          <w:p w14:paraId="58A239F7">
            <w:pPr>
              <w:rPr>
                <w:rFonts w:hint="eastAsia" w:asciiTheme="minorEastAsia" w:hAnsiTheme="minorEastAsia" w:eastAsiaTheme="minorEastAsia" w:cstheme="minorEastAsia"/>
                <w:sz w:val="24"/>
                <w:szCs w:val="24"/>
                <w:highlight w:val="none"/>
              </w:rPr>
            </w:pPr>
          </w:p>
        </w:tc>
        <w:tc>
          <w:tcPr>
            <w:tcW w:w="2218" w:type="dxa"/>
            <w:noWrap w:val="0"/>
            <w:vAlign w:val="center"/>
          </w:tcPr>
          <w:p w14:paraId="4012A537">
            <w:pPr>
              <w:rPr>
                <w:rFonts w:hint="eastAsia" w:asciiTheme="minorEastAsia" w:hAnsiTheme="minorEastAsia" w:eastAsiaTheme="minorEastAsia" w:cstheme="minorEastAsia"/>
                <w:sz w:val="24"/>
                <w:szCs w:val="24"/>
                <w:highlight w:val="none"/>
                <w:lang w:val="en-US" w:eastAsia="zh-CN"/>
              </w:rPr>
            </w:pPr>
          </w:p>
        </w:tc>
        <w:tc>
          <w:tcPr>
            <w:tcW w:w="1676" w:type="dxa"/>
            <w:noWrap w:val="0"/>
            <w:vAlign w:val="center"/>
          </w:tcPr>
          <w:p w14:paraId="153B7B8E">
            <w:pPr>
              <w:rPr>
                <w:rFonts w:hint="eastAsia" w:asciiTheme="minorEastAsia" w:hAnsiTheme="minorEastAsia" w:eastAsiaTheme="minorEastAsia" w:cstheme="minorEastAsia"/>
                <w:sz w:val="24"/>
                <w:szCs w:val="24"/>
                <w:highlight w:val="none"/>
              </w:rPr>
            </w:pPr>
          </w:p>
        </w:tc>
        <w:tc>
          <w:tcPr>
            <w:tcW w:w="1920" w:type="dxa"/>
            <w:noWrap w:val="0"/>
            <w:vAlign w:val="center"/>
          </w:tcPr>
          <w:p w14:paraId="7F693F7A">
            <w:pPr>
              <w:rPr>
                <w:rFonts w:hint="eastAsia" w:asciiTheme="minorEastAsia" w:hAnsiTheme="minorEastAsia" w:eastAsiaTheme="minorEastAsia" w:cstheme="minorEastAsia"/>
                <w:sz w:val="24"/>
                <w:szCs w:val="24"/>
                <w:highlight w:val="none"/>
              </w:rPr>
            </w:pPr>
          </w:p>
        </w:tc>
      </w:tr>
    </w:tbl>
    <w:p w14:paraId="1E273406">
      <w:pPr>
        <w:widowControl/>
        <w:jc w:val="left"/>
        <w:rPr>
          <w:rFonts w:hint="eastAsia" w:asciiTheme="minorEastAsia" w:hAnsiTheme="minorEastAsia" w:eastAsiaTheme="minorEastAsia" w:cstheme="minorEastAsia"/>
          <w:sz w:val="24"/>
          <w:szCs w:val="24"/>
          <w:highlight w:val="none"/>
        </w:rPr>
      </w:pPr>
    </w:p>
    <w:p w14:paraId="293705E0">
      <w:pPr>
        <w:pStyle w:val="43"/>
        <w:rPr>
          <w:rFonts w:hint="eastAsia" w:asciiTheme="minorEastAsia" w:hAnsiTheme="minorEastAsia" w:eastAsiaTheme="minorEastAsia" w:cstheme="minorEastAsia"/>
          <w:sz w:val="24"/>
          <w:szCs w:val="24"/>
          <w:highlight w:val="none"/>
          <w:lang w:val="en-US" w:eastAsia="zh-CN"/>
        </w:rPr>
      </w:pPr>
    </w:p>
    <w:p w14:paraId="63C2741E">
      <w:pPr>
        <w:pStyle w:val="43"/>
        <w:rPr>
          <w:rFonts w:hint="eastAsia" w:asciiTheme="minorEastAsia" w:hAnsiTheme="minorEastAsia" w:eastAsiaTheme="minorEastAsia" w:cstheme="minorEastAsia"/>
          <w:sz w:val="24"/>
          <w:szCs w:val="24"/>
          <w:highlight w:val="none"/>
          <w:lang w:val="en-US" w:eastAsia="zh-CN"/>
        </w:rPr>
      </w:pPr>
    </w:p>
    <w:bookmarkEnd w:id="155"/>
    <w:p w14:paraId="5E7C134A">
      <w:pPr>
        <w:pStyle w:val="43"/>
        <w:rPr>
          <w:rFonts w:hint="eastAsia" w:asciiTheme="minorEastAsia" w:hAnsiTheme="minorEastAsia" w:eastAsiaTheme="minorEastAsia" w:cstheme="minorEastAsia"/>
          <w:sz w:val="24"/>
          <w:szCs w:val="24"/>
          <w:highlight w:val="none"/>
          <w:lang w:val="en-US" w:eastAsia="zh-CN"/>
        </w:rPr>
      </w:pPr>
    </w:p>
    <w:p w14:paraId="1C5695ED">
      <w:pPr>
        <w:pStyle w:val="44"/>
        <w:rPr>
          <w:rFonts w:hint="eastAsia" w:asciiTheme="minorEastAsia" w:hAnsiTheme="minorEastAsia" w:eastAsiaTheme="minorEastAsia" w:cstheme="minorEastAsia"/>
          <w:color w:val="auto"/>
          <w:sz w:val="24"/>
          <w:szCs w:val="24"/>
          <w:highlight w:val="none"/>
          <w:lang w:val="en-US" w:eastAsia="zh-CN"/>
        </w:rPr>
      </w:pPr>
      <w:r>
        <w:rPr>
          <w:rFonts w:hint="eastAsia" w:asciiTheme="minorEastAsia" w:hAnsiTheme="minorEastAsia" w:eastAsiaTheme="minorEastAsia" w:cstheme="minorEastAsia"/>
          <w:color w:val="auto"/>
          <w:sz w:val="24"/>
          <w:szCs w:val="24"/>
          <w:highlight w:val="none"/>
          <w:lang w:val="en-US" w:eastAsia="zh-CN"/>
        </w:rPr>
        <w:t>填表要求：</w:t>
      </w:r>
    </w:p>
    <w:p w14:paraId="6A49E142">
      <w:pPr>
        <w:pStyle w:val="44"/>
        <w:numPr>
          <w:ilvl w:val="0"/>
          <w:numId w:val="52"/>
        </w:numPr>
        <w:rPr>
          <w:rFonts w:hint="eastAsia" w:asciiTheme="minorEastAsia" w:hAnsiTheme="minorEastAsia" w:eastAsiaTheme="minorEastAsia" w:cstheme="minorEastAsia"/>
          <w:color w:val="auto"/>
          <w:sz w:val="24"/>
          <w:szCs w:val="24"/>
          <w:highlight w:val="none"/>
          <w:lang w:val="en-GB" w:eastAsia="zh-CN"/>
        </w:rPr>
      </w:pPr>
      <w:r>
        <w:rPr>
          <w:rFonts w:hint="eastAsia" w:asciiTheme="minorEastAsia" w:hAnsiTheme="minorEastAsia" w:eastAsiaTheme="minorEastAsia" w:cstheme="minorEastAsia"/>
          <w:color w:val="auto"/>
          <w:sz w:val="24"/>
          <w:szCs w:val="24"/>
          <w:highlight w:val="none"/>
          <w:lang w:val="en-GB" w:eastAsia="zh-CN"/>
        </w:rPr>
        <w:t>投标文件差异修正准则详见招标文件。</w:t>
      </w:r>
    </w:p>
    <w:p w14:paraId="6F1014F9">
      <w:pPr>
        <w:pStyle w:val="44"/>
        <w:numPr>
          <w:ilvl w:val="0"/>
          <w:numId w:val="52"/>
        </w:numPr>
        <w:rPr>
          <w:rFonts w:hint="eastAsia" w:asciiTheme="minorEastAsia" w:hAnsiTheme="minorEastAsia" w:eastAsiaTheme="minorEastAsia" w:cstheme="minorEastAsia"/>
          <w:color w:val="auto"/>
          <w:sz w:val="24"/>
          <w:szCs w:val="24"/>
          <w:highlight w:val="none"/>
          <w:lang w:val="en-GB" w:eastAsia="zh-CN"/>
        </w:rPr>
      </w:pPr>
      <w:r>
        <w:rPr>
          <w:rFonts w:hint="eastAsia" w:asciiTheme="minorEastAsia" w:hAnsiTheme="minorEastAsia" w:eastAsiaTheme="minorEastAsia" w:cstheme="minorEastAsia"/>
          <w:color w:val="auto"/>
          <w:sz w:val="24"/>
          <w:szCs w:val="24"/>
          <w:highlight w:val="none"/>
          <w:lang w:val="en-GB" w:eastAsia="zh-CN"/>
        </w:rPr>
        <w:t>以上投标报价须满足“第二部分项目内容”的</w:t>
      </w:r>
      <w:r>
        <w:rPr>
          <w:rFonts w:hint="eastAsia" w:asciiTheme="minorEastAsia" w:hAnsiTheme="minorEastAsia" w:eastAsiaTheme="minorEastAsia" w:cstheme="minorEastAsia"/>
          <w:color w:val="auto"/>
          <w:sz w:val="24"/>
          <w:szCs w:val="24"/>
          <w:highlight w:val="none"/>
          <w:lang w:val="en-US" w:eastAsia="zh-CN"/>
        </w:rPr>
        <w:t>项目</w:t>
      </w:r>
      <w:r>
        <w:rPr>
          <w:rFonts w:hint="eastAsia" w:asciiTheme="minorEastAsia" w:hAnsiTheme="minorEastAsia" w:eastAsiaTheme="minorEastAsia" w:cstheme="minorEastAsia"/>
          <w:color w:val="auto"/>
          <w:sz w:val="24"/>
          <w:szCs w:val="24"/>
          <w:highlight w:val="none"/>
          <w:lang w:val="en-GB" w:eastAsia="zh-CN"/>
        </w:rPr>
        <w:t>商务要求中“报价要求”的内容和要求。</w:t>
      </w:r>
    </w:p>
    <w:p w14:paraId="502A0557">
      <w:pPr>
        <w:pStyle w:val="44"/>
        <w:numPr>
          <w:ilvl w:val="0"/>
          <w:numId w:val="52"/>
        </w:numPr>
        <w:rPr>
          <w:rFonts w:hint="eastAsia" w:asciiTheme="minorEastAsia" w:hAnsiTheme="minorEastAsia" w:eastAsiaTheme="minorEastAsia" w:cstheme="minorEastAsia"/>
          <w:color w:val="auto"/>
          <w:sz w:val="24"/>
          <w:szCs w:val="24"/>
          <w:highlight w:val="none"/>
          <w:lang w:val="en-GB" w:eastAsia="zh-CN"/>
        </w:rPr>
      </w:pPr>
      <w:r>
        <w:rPr>
          <w:rFonts w:hint="eastAsia" w:asciiTheme="minorEastAsia" w:hAnsiTheme="minorEastAsia" w:eastAsiaTheme="minorEastAsia" w:cstheme="minorEastAsia"/>
          <w:color w:val="auto"/>
          <w:sz w:val="24"/>
          <w:szCs w:val="24"/>
          <w:highlight w:val="none"/>
          <w:lang w:val="en-GB" w:eastAsia="zh-CN"/>
        </w:rPr>
        <w:t>开标内容与投标文件对应内容必须一致，否则，以开标公布的内容为准。</w:t>
      </w:r>
    </w:p>
    <w:p w14:paraId="5033BAA7">
      <w:pPr>
        <w:pStyle w:val="44"/>
        <w:numPr>
          <w:ilvl w:val="0"/>
          <w:numId w:val="52"/>
        </w:numPr>
        <w:rPr>
          <w:rFonts w:hint="eastAsia" w:asciiTheme="minorEastAsia" w:hAnsiTheme="minorEastAsia" w:eastAsiaTheme="minorEastAsia" w:cstheme="minorEastAsia"/>
          <w:color w:val="auto"/>
          <w:sz w:val="24"/>
          <w:szCs w:val="24"/>
          <w:highlight w:val="none"/>
          <w:lang w:val="en-US" w:eastAsia="zh-CN"/>
        </w:rPr>
      </w:pPr>
      <w:r>
        <w:rPr>
          <w:rFonts w:hint="eastAsia" w:asciiTheme="minorEastAsia" w:hAnsiTheme="minorEastAsia" w:eastAsiaTheme="minorEastAsia" w:cstheme="minorEastAsia"/>
          <w:color w:val="auto"/>
          <w:sz w:val="24"/>
          <w:szCs w:val="24"/>
          <w:highlight w:val="none"/>
          <w:lang w:val="en-GB" w:eastAsia="zh-CN"/>
        </w:rPr>
        <w:t>本表未按招标文件要求签名盖章将作无效投标处理。</w:t>
      </w:r>
    </w:p>
    <w:p w14:paraId="1682D289">
      <w:pPr>
        <w:pStyle w:val="44"/>
        <w:spacing w:line="480" w:lineRule="auto"/>
        <w:rPr>
          <w:rFonts w:hint="eastAsia" w:asciiTheme="minorEastAsia" w:hAnsiTheme="minorEastAsia" w:eastAsiaTheme="minorEastAsia" w:cstheme="minorEastAsia"/>
          <w:b/>
          <w:color w:val="auto"/>
          <w:sz w:val="24"/>
          <w:szCs w:val="24"/>
          <w:highlight w:val="none"/>
          <w:lang w:val="en-GB" w:eastAsia="zh-CN"/>
        </w:rPr>
      </w:pPr>
    </w:p>
    <w:p w14:paraId="2A74131D">
      <w:pPr>
        <w:pStyle w:val="44"/>
        <w:spacing w:line="480" w:lineRule="auto"/>
        <w:rPr>
          <w:rFonts w:hint="eastAsia" w:asciiTheme="minorEastAsia" w:hAnsiTheme="minorEastAsia" w:eastAsiaTheme="minorEastAsia" w:cstheme="minorEastAsia"/>
          <w:b/>
          <w:color w:val="auto"/>
          <w:highlight w:val="none"/>
          <w:lang w:val="en-GB" w:eastAsia="zh-CN"/>
        </w:rPr>
      </w:pPr>
    </w:p>
    <w:p w14:paraId="77EF09E4">
      <w:pPr>
        <w:pStyle w:val="44"/>
        <w:spacing w:line="480" w:lineRule="auto"/>
        <w:rPr>
          <w:rFonts w:hint="eastAsia" w:asciiTheme="minorEastAsia" w:hAnsiTheme="minorEastAsia" w:eastAsiaTheme="minorEastAsia" w:cstheme="minorEastAsia"/>
          <w:b/>
          <w:color w:val="auto"/>
          <w:highlight w:val="none"/>
          <w:lang w:val="en-GB" w:eastAsia="zh-CN"/>
        </w:rPr>
      </w:pPr>
    </w:p>
    <w:p w14:paraId="10DBB39F">
      <w:pPr>
        <w:pStyle w:val="44"/>
        <w:spacing w:line="480" w:lineRule="auto"/>
        <w:rPr>
          <w:rFonts w:hint="eastAsia" w:asciiTheme="minorEastAsia" w:hAnsiTheme="minorEastAsia" w:eastAsiaTheme="minorEastAsia" w:cstheme="minorEastAsia"/>
          <w:b/>
          <w:color w:val="auto"/>
          <w:highlight w:val="none"/>
          <w:lang w:val="en-GB" w:eastAsia="zh-CN"/>
        </w:rPr>
      </w:pPr>
      <w:r>
        <w:rPr>
          <w:rFonts w:hint="eastAsia" w:asciiTheme="minorEastAsia" w:hAnsiTheme="minorEastAsia" w:eastAsiaTheme="minorEastAsia" w:cstheme="minorEastAsia"/>
          <w:b/>
          <w:color w:val="auto"/>
          <w:highlight w:val="none"/>
          <w:lang w:val="en-GB" w:eastAsia="zh-CN"/>
        </w:rPr>
        <w:t>投标人名称：</w:t>
      </w:r>
      <w:r>
        <w:rPr>
          <w:rFonts w:hint="eastAsia" w:asciiTheme="minorEastAsia" w:hAnsiTheme="minorEastAsia" w:eastAsiaTheme="minorEastAsia" w:cstheme="minorEastAsia"/>
          <w:b/>
          <w:color w:val="auto"/>
          <w:highlight w:val="none"/>
          <w:u w:val="single"/>
          <w:lang w:val="en-GB" w:eastAsia="zh-CN"/>
        </w:rPr>
        <w:t>（全称）</w:t>
      </w:r>
      <w:r>
        <w:rPr>
          <w:rFonts w:hint="eastAsia" w:asciiTheme="minorEastAsia" w:hAnsiTheme="minorEastAsia" w:eastAsiaTheme="minorEastAsia" w:cstheme="minorEastAsia"/>
          <w:b/>
          <w:color w:val="auto"/>
          <w:highlight w:val="none"/>
          <w:lang w:val="en-GB" w:eastAsia="zh-CN"/>
        </w:rPr>
        <w:t>（单位公章）</w:t>
      </w:r>
    </w:p>
    <w:p w14:paraId="5E29854B">
      <w:pPr>
        <w:pStyle w:val="44"/>
        <w:spacing w:line="360" w:lineRule="auto"/>
        <w:rPr>
          <w:rFonts w:hint="eastAsia" w:asciiTheme="minorEastAsia" w:hAnsiTheme="minorEastAsia" w:eastAsiaTheme="minorEastAsia" w:cstheme="minorEastAsia"/>
          <w:b/>
          <w:color w:val="auto"/>
          <w:highlight w:val="none"/>
          <w:lang w:val="en-US" w:eastAsia="zh-CN"/>
        </w:rPr>
      </w:pPr>
      <w:r>
        <w:rPr>
          <w:rFonts w:hint="eastAsia" w:asciiTheme="minorEastAsia" w:hAnsiTheme="minorEastAsia" w:eastAsiaTheme="minorEastAsia" w:cstheme="minorEastAsia"/>
          <w:b/>
          <w:color w:val="auto"/>
          <w:highlight w:val="none"/>
          <w:lang w:val="en-US" w:eastAsia="zh-CN"/>
        </w:rPr>
        <w:t>日期：年月日</w:t>
      </w:r>
    </w:p>
    <w:p w14:paraId="5701E1F4">
      <w:pPr>
        <w:pStyle w:val="45"/>
        <w:outlineLvl w:val="1"/>
        <w:rPr>
          <w:rFonts w:hint="eastAsia" w:asciiTheme="minorEastAsia" w:hAnsiTheme="minorEastAsia" w:eastAsiaTheme="minorEastAsia" w:cstheme="minorEastAsia"/>
          <w:highlight w:val="none"/>
        </w:rPr>
      </w:pPr>
    </w:p>
    <w:p w14:paraId="6B5886D7">
      <w:pPr>
        <w:pStyle w:val="45"/>
        <w:outlineLvl w:val="1"/>
        <w:rPr>
          <w:rFonts w:hint="eastAsia" w:asciiTheme="minorEastAsia" w:hAnsiTheme="minorEastAsia" w:eastAsiaTheme="minorEastAsia" w:cstheme="minorEastAsia"/>
          <w:highlight w:val="none"/>
        </w:rPr>
      </w:pPr>
    </w:p>
    <w:p w14:paraId="74E8971E">
      <w:pPr>
        <w:pStyle w:val="46"/>
        <w:jc w:val="center"/>
        <w:outlineLvl w:val="1"/>
        <w:rPr>
          <w:rFonts w:hint="eastAsia" w:asciiTheme="minorEastAsia" w:hAnsiTheme="minorEastAsia" w:eastAsiaTheme="minorEastAsia" w:cstheme="minorEastAsia"/>
          <w:highlight w:val="none"/>
        </w:rPr>
      </w:pPr>
      <w:r>
        <w:rPr>
          <w:rFonts w:hint="eastAsia" w:asciiTheme="minorEastAsia" w:hAnsiTheme="minorEastAsia" w:eastAsiaTheme="minorEastAsia" w:cstheme="minorEastAsia"/>
          <w:highlight w:val="none"/>
        </w:rPr>
        <w:br w:type="page"/>
      </w:r>
    </w:p>
    <w:p w14:paraId="4DCF1211">
      <w:pPr>
        <w:pStyle w:val="47"/>
        <w:spacing w:line="360" w:lineRule="auto"/>
        <w:jc w:val="center"/>
        <w:rPr>
          <w:rFonts w:hint="eastAsia" w:asciiTheme="minorEastAsia" w:hAnsiTheme="minorEastAsia" w:eastAsiaTheme="minorEastAsia" w:cstheme="minorEastAsia"/>
          <w:b/>
          <w:sz w:val="32"/>
          <w:szCs w:val="32"/>
          <w:highlight w:val="none"/>
          <w:lang w:eastAsia="zh-CN"/>
        </w:rPr>
      </w:pPr>
      <w:r>
        <w:rPr>
          <w:rFonts w:hint="eastAsia" w:asciiTheme="minorEastAsia" w:hAnsiTheme="minorEastAsia" w:eastAsiaTheme="minorEastAsia" w:cstheme="minorEastAsia"/>
          <w:b/>
          <w:sz w:val="32"/>
          <w:szCs w:val="32"/>
          <w:highlight w:val="none"/>
        </w:rPr>
        <w:t>报价清单明细表</w:t>
      </w:r>
    </w:p>
    <w:p w14:paraId="1D43DA69">
      <w:pPr>
        <w:pStyle w:val="47"/>
        <w:spacing w:line="360" w:lineRule="auto"/>
        <w:jc w:val="center"/>
        <w:rPr>
          <w:rFonts w:hint="eastAsia" w:asciiTheme="minorEastAsia" w:hAnsiTheme="minorEastAsia" w:eastAsiaTheme="minorEastAsia" w:cstheme="minorEastAsia"/>
          <w:b/>
          <w:sz w:val="32"/>
          <w:szCs w:val="32"/>
          <w:highlight w:val="none"/>
        </w:rPr>
      </w:pPr>
    </w:p>
    <w:p w14:paraId="005464F8">
      <w:pPr>
        <w:pStyle w:val="47"/>
        <w:tabs>
          <w:tab w:val="left" w:pos="9300"/>
        </w:tabs>
        <w:spacing w:line="360" w:lineRule="auto"/>
        <w:rPr>
          <w:rFonts w:hint="eastAsia" w:asciiTheme="minorEastAsia" w:hAnsiTheme="minorEastAsia" w:eastAsiaTheme="minorEastAsia" w:cstheme="minorEastAsia"/>
          <w:bCs/>
          <w:sz w:val="24"/>
          <w:szCs w:val="24"/>
          <w:highlight w:val="none"/>
        </w:rPr>
      </w:pPr>
      <w:r>
        <w:rPr>
          <w:rFonts w:hint="eastAsia" w:asciiTheme="minorEastAsia" w:hAnsiTheme="minorEastAsia" w:eastAsiaTheme="minorEastAsia" w:cstheme="minorEastAsia"/>
          <w:bCs/>
          <w:sz w:val="24"/>
          <w:szCs w:val="24"/>
          <w:highlight w:val="none"/>
        </w:rPr>
        <w:t>项目名称：</w:t>
      </w:r>
      <w:r>
        <w:rPr>
          <w:rFonts w:hint="eastAsia" w:asciiTheme="minorEastAsia" w:hAnsiTheme="minorEastAsia" w:eastAsiaTheme="minorEastAsia" w:cstheme="minorEastAsia"/>
          <w:bCs/>
          <w:sz w:val="24"/>
          <w:szCs w:val="24"/>
          <w:highlight w:val="none"/>
          <w:lang w:eastAsia="zh-CN"/>
        </w:rPr>
        <w:t>吉利邓岗村车辆停放管理服务</w:t>
      </w:r>
    </w:p>
    <w:p w14:paraId="4B08F03A">
      <w:pPr>
        <w:pStyle w:val="47"/>
        <w:tabs>
          <w:tab w:val="left" w:pos="9300"/>
        </w:tabs>
        <w:spacing w:line="360" w:lineRule="auto"/>
        <w:rPr>
          <w:rFonts w:hint="eastAsia"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bCs/>
          <w:sz w:val="24"/>
          <w:szCs w:val="24"/>
          <w:highlight w:val="none"/>
        </w:rPr>
        <w:fldChar w:fldCharType="begin"/>
      </w:r>
      <w:r>
        <w:rPr>
          <w:rFonts w:hint="eastAsia" w:asciiTheme="minorEastAsia" w:hAnsiTheme="minorEastAsia" w:eastAsiaTheme="minorEastAsia" w:cstheme="minorEastAsia"/>
          <w:bCs/>
          <w:sz w:val="24"/>
          <w:szCs w:val="24"/>
          <w:highlight w:val="none"/>
        </w:rPr>
        <w:instrText xml:space="preserve"> DOCVARIABLE  项目名称  \* MERGEFORMAT </w:instrText>
      </w:r>
      <w:r>
        <w:rPr>
          <w:rFonts w:hint="eastAsia" w:asciiTheme="minorEastAsia" w:hAnsiTheme="minorEastAsia" w:eastAsiaTheme="minorEastAsia" w:cstheme="minorEastAsia"/>
          <w:bCs/>
          <w:sz w:val="24"/>
          <w:szCs w:val="24"/>
          <w:highlight w:val="none"/>
        </w:rPr>
        <w:fldChar w:fldCharType="end"/>
      </w:r>
      <w:r>
        <w:rPr>
          <w:rFonts w:hint="eastAsia" w:asciiTheme="minorEastAsia" w:hAnsiTheme="minorEastAsia" w:eastAsiaTheme="minorEastAsia" w:cstheme="minorEastAsia"/>
          <w:bCs/>
          <w:sz w:val="24"/>
          <w:szCs w:val="24"/>
          <w:highlight w:val="none"/>
        </w:rPr>
        <w:t>交易编号</w:t>
      </w:r>
      <w:r>
        <w:rPr>
          <w:rFonts w:hint="eastAsia" w:asciiTheme="minorEastAsia" w:hAnsiTheme="minorEastAsia" w:eastAsiaTheme="minorEastAsia" w:cstheme="minorEastAsia"/>
          <w:sz w:val="24"/>
          <w:szCs w:val="24"/>
          <w:highlight w:val="none"/>
        </w:rPr>
        <w:t>：</w:t>
      </w:r>
      <w:r>
        <w:rPr>
          <w:rFonts w:hint="eastAsia" w:asciiTheme="minorEastAsia" w:hAnsiTheme="minorEastAsia" w:eastAsiaTheme="minorEastAsia" w:cstheme="minorEastAsia"/>
          <w:sz w:val="24"/>
          <w:szCs w:val="24"/>
          <w:highlight w:val="none"/>
          <w:lang w:eastAsia="zh-CN"/>
        </w:rPr>
        <w:t>GDZC-24JT197</w:t>
      </w:r>
    </w:p>
    <w:p w14:paraId="2A56140A">
      <w:pPr>
        <w:pStyle w:val="47"/>
        <w:tabs>
          <w:tab w:val="left" w:pos="9300"/>
        </w:tabs>
        <w:spacing w:line="360" w:lineRule="auto"/>
        <w:rPr>
          <w:rFonts w:hint="eastAsia" w:asciiTheme="minorEastAsia" w:hAnsiTheme="minorEastAsia" w:eastAsiaTheme="minorEastAsia" w:cstheme="minorEastAsia"/>
          <w:sz w:val="24"/>
          <w:szCs w:val="24"/>
          <w:highlight w:val="none"/>
        </w:rPr>
      </w:pPr>
    </w:p>
    <w:p w14:paraId="625F5503">
      <w:pPr>
        <w:widowControl/>
        <w:jc w:val="left"/>
        <w:rPr>
          <w:rFonts w:hint="eastAsia" w:asciiTheme="minorEastAsia" w:hAnsiTheme="minorEastAsia" w:eastAsiaTheme="minorEastAsia" w:cstheme="minorEastAsia"/>
          <w:sz w:val="24"/>
          <w:szCs w:val="24"/>
          <w:highlight w:val="none"/>
        </w:rPr>
      </w:pPr>
    </w:p>
    <w:p w14:paraId="279A2F2D">
      <w:pPr>
        <w:pStyle w:val="47"/>
        <w:tabs>
          <w:tab w:val="left" w:pos="9300"/>
        </w:tabs>
        <w:spacing w:line="360" w:lineRule="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bCs/>
          <w:sz w:val="24"/>
          <w:szCs w:val="24"/>
          <w:highlight w:val="none"/>
        </w:rPr>
        <w:fldChar w:fldCharType="begin"/>
      </w:r>
      <w:r>
        <w:rPr>
          <w:rFonts w:hint="eastAsia" w:asciiTheme="minorEastAsia" w:hAnsiTheme="minorEastAsia" w:eastAsiaTheme="minorEastAsia" w:cstheme="minorEastAsia"/>
          <w:bCs/>
          <w:sz w:val="24"/>
          <w:szCs w:val="24"/>
          <w:highlight w:val="none"/>
        </w:rPr>
        <w:instrText xml:space="preserve"> DOCVARIABLE  采购编号  \* MERGEFORMAT </w:instrText>
      </w:r>
      <w:r>
        <w:rPr>
          <w:rFonts w:hint="eastAsia" w:asciiTheme="minorEastAsia" w:hAnsiTheme="minorEastAsia" w:eastAsiaTheme="minorEastAsia" w:cstheme="minorEastAsia"/>
          <w:bCs/>
          <w:sz w:val="24"/>
          <w:szCs w:val="24"/>
          <w:highlight w:val="none"/>
        </w:rPr>
        <w:fldChar w:fldCharType="end"/>
      </w:r>
    </w:p>
    <w:p w14:paraId="13F4ABBC">
      <w:pPr>
        <w:pStyle w:val="48"/>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填表要求：</w:t>
      </w:r>
    </w:p>
    <w:p w14:paraId="108C7F0C">
      <w:pPr>
        <w:pStyle w:val="49"/>
        <w:numPr>
          <w:ilvl w:val="0"/>
          <w:numId w:val="53"/>
        </w:numPr>
        <w:spacing w:line="360" w:lineRule="auto"/>
        <w:rPr>
          <w:rFonts w:hint="eastAsia" w:asciiTheme="minorEastAsia" w:hAnsiTheme="minorEastAsia" w:eastAsiaTheme="minorEastAsia" w:cstheme="minorEastAsia"/>
          <w:sz w:val="24"/>
          <w:szCs w:val="24"/>
          <w:highlight w:val="none"/>
          <w:lang w:val="en-GB"/>
        </w:rPr>
      </w:pPr>
      <w:r>
        <w:rPr>
          <w:rFonts w:hint="eastAsia" w:asciiTheme="minorEastAsia" w:hAnsiTheme="minorEastAsia" w:eastAsiaTheme="minorEastAsia" w:cstheme="minorEastAsia"/>
          <w:sz w:val="24"/>
          <w:szCs w:val="24"/>
          <w:highlight w:val="none"/>
          <w:lang w:eastAsia="zh-CN"/>
        </w:rPr>
        <w:t>格式自拟</w:t>
      </w:r>
      <w:r>
        <w:rPr>
          <w:rFonts w:hint="eastAsia" w:asciiTheme="minorEastAsia" w:hAnsiTheme="minorEastAsia" w:eastAsiaTheme="minorEastAsia" w:cstheme="minorEastAsia"/>
          <w:sz w:val="24"/>
          <w:szCs w:val="24"/>
          <w:highlight w:val="none"/>
        </w:rPr>
        <w:t>。</w:t>
      </w:r>
    </w:p>
    <w:p w14:paraId="4EF90BEA">
      <w:pPr>
        <w:pStyle w:val="49"/>
        <w:numPr>
          <w:ilvl w:val="0"/>
          <w:numId w:val="53"/>
        </w:numPr>
        <w:spacing w:line="360" w:lineRule="auto"/>
        <w:rPr>
          <w:rFonts w:hint="eastAsia" w:asciiTheme="minorEastAsia" w:hAnsiTheme="minorEastAsia" w:eastAsiaTheme="minorEastAsia" w:cstheme="minorEastAsia"/>
          <w:sz w:val="24"/>
          <w:szCs w:val="24"/>
          <w:highlight w:val="none"/>
          <w:lang w:val="en-GB"/>
        </w:rPr>
      </w:pPr>
      <w:r>
        <w:rPr>
          <w:rFonts w:hint="eastAsia" w:asciiTheme="minorEastAsia" w:hAnsiTheme="minorEastAsia" w:eastAsiaTheme="minorEastAsia" w:cstheme="minorEastAsia"/>
          <w:sz w:val="24"/>
          <w:szCs w:val="24"/>
          <w:highlight w:val="none"/>
          <w:lang w:val="en-GB"/>
        </w:rPr>
        <w:t>以上内容必须与技术方案中所介绍的内容、《开标一览表》一致相符。</w:t>
      </w:r>
    </w:p>
    <w:p w14:paraId="450EB62C">
      <w:pPr>
        <w:pStyle w:val="50"/>
        <w:ind w:firstLine="420"/>
        <w:rPr>
          <w:rFonts w:hint="eastAsia" w:asciiTheme="minorEastAsia" w:hAnsiTheme="minorEastAsia" w:eastAsiaTheme="minorEastAsia" w:cstheme="minorEastAsia"/>
          <w:color w:val="auto"/>
          <w:sz w:val="24"/>
          <w:szCs w:val="24"/>
          <w:highlight w:val="none"/>
          <w:lang w:val="en-GB" w:eastAsia="zh-CN"/>
        </w:rPr>
      </w:pPr>
    </w:p>
    <w:p w14:paraId="219558A2">
      <w:pPr>
        <w:pStyle w:val="50"/>
        <w:rPr>
          <w:rFonts w:hint="eastAsia" w:asciiTheme="minorEastAsia" w:hAnsiTheme="minorEastAsia" w:eastAsiaTheme="minorEastAsia" w:cstheme="minorEastAsia"/>
          <w:color w:val="auto"/>
          <w:sz w:val="24"/>
          <w:szCs w:val="24"/>
          <w:highlight w:val="none"/>
          <w:lang w:val="en-GB"/>
        </w:rPr>
      </w:pPr>
    </w:p>
    <w:p w14:paraId="3919E200">
      <w:pPr>
        <w:pStyle w:val="50"/>
        <w:rPr>
          <w:rFonts w:hint="eastAsia" w:asciiTheme="minorEastAsia" w:hAnsiTheme="minorEastAsia" w:eastAsiaTheme="minorEastAsia" w:cstheme="minorEastAsia"/>
          <w:color w:val="auto"/>
          <w:sz w:val="24"/>
          <w:szCs w:val="24"/>
          <w:highlight w:val="none"/>
          <w:lang w:val="en-GB"/>
        </w:rPr>
      </w:pPr>
    </w:p>
    <w:p w14:paraId="7D2A988E">
      <w:pPr>
        <w:rPr>
          <w:rFonts w:hint="eastAsia" w:asciiTheme="minorEastAsia" w:hAnsiTheme="minorEastAsia" w:eastAsiaTheme="minorEastAsia" w:cstheme="minorEastAsia"/>
          <w:sz w:val="24"/>
          <w:szCs w:val="24"/>
          <w:highlight w:val="none"/>
          <w:lang w:val="en-GB"/>
        </w:rPr>
      </w:pPr>
      <w:r>
        <w:rPr>
          <w:rFonts w:hint="eastAsia" w:asciiTheme="minorEastAsia" w:hAnsiTheme="minorEastAsia" w:eastAsiaTheme="minorEastAsia" w:cstheme="minorEastAsia"/>
          <w:sz w:val="24"/>
          <w:szCs w:val="24"/>
          <w:highlight w:val="none"/>
          <w:lang w:val="en-GB"/>
        </w:rPr>
        <w:t>投标人名称：</w:t>
      </w:r>
      <w:r>
        <w:rPr>
          <w:rFonts w:hint="eastAsia" w:asciiTheme="minorEastAsia" w:hAnsiTheme="minorEastAsia" w:eastAsiaTheme="minorEastAsia" w:cstheme="minorEastAsia"/>
          <w:sz w:val="24"/>
          <w:szCs w:val="24"/>
          <w:highlight w:val="none"/>
          <w:u w:val="single"/>
          <w:lang w:val="en-GB"/>
        </w:rPr>
        <w:t>（全称）</w:t>
      </w:r>
      <w:r>
        <w:rPr>
          <w:rFonts w:hint="eastAsia" w:asciiTheme="minorEastAsia" w:hAnsiTheme="minorEastAsia" w:eastAsiaTheme="minorEastAsia" w:cstheme="minorEastAsia"/>
          <w:sz w:val="24"/>
          <w:szCs w:val="24"/>
          <w:highlight w:val="none"/>
          <w:lang w:val="en-GB"/>
        </w:rPr>
        <w:t>（单位公章）</w:t>
      </w:r>
    </w:p>
    <w:p w14:paraId="64DA6A04">
      <w:pPr>
        <w:pStyle w:val="19"/>
        <w:rPr>
          <w:rFonts w:hint="eastAsia" w:asciiTheme="minorEastAsia" w:hAnsiTheme="minorEastAsia" w:eastAsiaTheme="minorEastAsia" w:cstheme="minorEastAsia"/>
          <w:highlight w:val="none"/>
          <w:lang w:val="en-GB"/>
        </w:rPr>
      </w:pPr>
    </w:p>
    <w:p w14:paraId="04CFA4E4">
      <w:pPr>
        <w:pStyle w:val="19"/>
        <w:rPr>
          <w:rFonts w:hint="eastAsia" w:asciiTheme="minorEastAsia" w:hAnsiTheme="minorEastAsia" w:eastAsiaTheme="minorEastAsia" w:cstheme="minorEastAsia"/>
          <w:highlight w:val="none"/>
          <w:lang w:val="en-GB"/>
        </w:rPr>
      </w:pPr>
    </w:p>
    <w:p w14:paraId="77914F64">
      <w:pPr>
        <w:rPr>
          <w:rFonts w:hint="eastAsia" w:asciiTheme="minorEastAsia" w:hAnsiTheme="minorEastAsia" w:eastAsiaTheme="minorEastAsia" w:cstheme="minorEastAsia"/>
          <w:color w:val="auto"/>
          <w:highlight w:val="none"/>
        </w:rPr>
      </w:pPr>
    </w:p>
    <w:p w14:paraId="28FCD560">
      <w:pPr>
        <w:rPr>
          <w:rFonts w:hint="eastAsia" w:asciiTheme="minorEastAsia" w:hAnsiTheme="minorEastAsia" w:eastAsiaTheme="minorEastAsia" w:cstheme="minorEastAsia"/>
          <w:color w:val="auto"/>
          <w:highlight w:val="none"/>
        </w:rPr>
      </w:pPr>
    </w:p>
    <w:p w14:paraId="2B467878">
      <w:pPr>
        <w:rPr>
          <w:rFonts w:hint="eastAsia" w:asciiTheme="minorEastAsia" w:hAnsiTheme="minorEastAsia" w:eastAsiaTheme="minorEastAsia" w:cstheme="minorEastAsia"/>
          <w:highlight w:val="none"/>
        </w:rPr>
      </w:pPr>
    </w:p>
    <w:p w14:paraId="24AAA83F">
      <w:pPr>
        <w:pStyle w:val="6"/>
        <w:rPr>
          <w:rFonts w:hint="eastAsia" w:asciiTheme="minorEastAsia" w:hAnsiTheme="minorEastAsia" w:eastAsiaTheme="minorEastAsia" w:cstheme="minorEastAsia"/>
          <w:highlight w:val="none"/>
        </w:rPr>
      </w:pPr>
    </w:p>
    <w:p w14:paraId="5E3EA2A8">
      <w:pPr>
        <w:rPr>
          <w:rFonts w:hint="eastAsia" w:asciiTheme="minorEastAsia" w:hAnsiTheme="minorEastAsia" w:eastAsiaTheme="minorEastAsia" w:cstheme="minorEastAsia"/>
          <w:highlight w:val="none"/>
        </w:rPr>
        <w:sectPr>
          <w:pgSz w:w="11850" w:h="16783"/>
          <w:pgMar w:top="1134" w:right="1134" w:bottom="1134" w:left="1417" w:header="573" w:footer="584" w:gutter="0"/>
          <w:pgBorders>
            <w:top w:val="none" w:sz="0" w:space="0"/>
            <w:left w:val="none" w:sz="0" w:space="0"/>
            <w:bottom w:val="none" w:sz="0" w:space="0"/>
            <w:right w:val="none" w:sz="0" w:space="0"/>
          </w:pgBorders>
          <w:pgNumType w:fmt="decimal"/>
          <w:cols w:space="0" w:num="1"/>
          <w:rtlGutter w:val="0"/>
          <w:docGrid w:linePitch="312" w:charSpace="0"/>
        </w:sectPr>
      </w:pPr>
    </w:p>
    <w:p w14:paraId="3396A5EE">
      <w:pPr>
        <w:spacing w:line="360" w:lineRule="auto"/>
        <w:jc w:val="center"/>
        <w:outlineLvl w:val="2"/>
        <w:rPr>
          <w:rFonts w:hint="eastAsia" w:asciiTheme="minorEastAsia" w:hAnsiTheme="minorEastAsia" w:eastAsiaTheme="minorEastAsia" w:cstheme="minorEastAsia"/>
          <w:b/>
          <w:bCs/>
          <w:color w:val="auto"/>
          <w:sz w:val="44"/>
          <w:szCs w:val="44"/>
          <w:highlight w:val="none"/>
          <w:lang w:eastAsia="zh-CN"/>
        </w:rPr>
      </w:pPr>
      <w:bookmarkStart w:id="156" w:name="_Toc10492"/>
      <w:r>
        <w:rPr>
          <w:rFonts w:hint="eastAsia" w:asciiTheme="minorEastAsia" w:hAnsiTheme="minorEastAsia" w:eastAsiaTheme="minorEastAsia" w:cstheme="minorEastAsia"/>
          <w:b/>
          <w:bCs/>
          <w:color w:val="auto"/>
          <w:sz w:val="44"/>
          <w:szCs w:val="44"/>
          <w:highlight w:val="none"/>
        </w:rPr>
        <w:t>文件包装袋封面标贴格式</w:t>
      </w:r>
      <w:bookmarkEnd w:id="156"/>
    </w:p>
    <w:tbl>
      <w:tblPr>
        <w:tblStyle w:val="20"/>
        <w:tblW w:w="9329" w:type="dxa"/>
        <w:jc w:val="center"/>
        <w:tblBorders>
          <w:top w:val="dashSmallGap" w:color="003366" w:sz="2" w:space="0"/>
          <w:left w:val="dashSmallGap" w:color="003366" w:sz="2" w:space="0"/>
          <w:bottom w:val="dashSmallGap" w:color="003366" w:sz="2" w:space="0"/>
          <w:right w:val="dashSmallGap" w:color="003366" w:sz="2" w:space="0"/>
          <w:insideH w:val="dashSmallGap" w:color="003366" w:sz="2" w:space="0"/>
          <w:insideV w:val="dashSmallGap" w:color="003366" w:sz="2" w:space="0"/>
        </w:tblBorders>
        <w:tblLayout w:type="fixed"/>
        <w:tblCellMar>
          <w:top w:w="0" w:type="dxa"/>
          <w:left w:w="108" w:type="dxa"/>
          <w:bottom w:w="0" w:type="dxa"/>
          <w:right w:w="108" w:type="dxa"/>
        </w:tblCellMar>
      </w:tblPr>
      <w:tblGrid>
        <w:gridCol w:w="9329"/>
      </w:tblGrid>
      <w:tr w14:paraId="5BF6BA0C">
        <w:tblPrEx>
          <w:tblBorders>
            <w:top w:val="dashSmallGap" w:color="003366" w:sz="2" w:space="0"/>
            <w:left w:val="dashSmallGap" w:color="003366" w:sz="2" w:space="0"/>
            <w:bottom w:val="dashSmallGap" w:color="003366" w:sz="2" w:space="0"/>
            <w:right w:val="dashSmallGap" w:color="003366" w:sz="2" w:space="0"/>
            <w:insideH w:val="dashSmallGap" w:color="003366" w:sz="2" w:space="0"/>
            <w:insideV w:val="dashSmallGap" w:color="003366" w:sz="2" w:space="0"/>
          </w:tblBorders>
          <w:tblCellMar>
            <w:top w:w="0" w:type="dxa"/>
            <w:left w:w="108" w:type="dxa"/>
            <w:bottom w:w="0" w:type="dxa"/>
            <w:right w:w="108" w:type="dxa"/>
          </w:tblCellMar>
        </w:tblPrEx>
        <w:trPr>
          <w:trHeight w:val="9085" w:hRule="atLeast"/>
          <w:jc w:val="center"/>
        </w:trPr>
        <w:tc>
          <w:tcPr>
            <w:tcW w:w="9329" w:type="dxa"/>
            <w:shd w:val="clear" w:color="auto" w:fill="FFFFFF"/>
            <w:noWrap w:val="0"/>
            <w:vAlign w:val="top"/>
          </w:tcPr>
          <w:p w14:paraId="445D477E">
            <w:pPr>
              <w:rPr>
                <w:rFonts w:hint="eastAsia" w:asciiTheme="minorEastAsia" w:hAnsiTheme="minorEastAsia" w:eastAsiaTheme="minorEastAsia" w:cstheme="minorEastAsia"/>
                <w:color w:val="auto"/>
                <w:sz w:val="18"/>
                <w:szCs w:val="18"/>
                <w:highlight w:val="none"/>
              </w:rPr>
            </w:pPr>
          </w:p>
          <w:p w14:paraId="2FDCBA35">
            <w:pPr>
              <w:jc w:val="center"/>
              <w:rPr>
                <w:rFonts w:hint="eastAsia" w:asciiTheme="minorEastAsia" w:hAnsiTheme="minorEastAsia" w:eastAsiaTheme="minorEastAsia" w:cstheme="minorEastAsia"/>
                <w:b/>
                <w:color w:val="auto"/>
                <w:sz w:val="48"/>
                <w:szCs w:val="48"/>
                <w:highlight w:val="none"/>
              </w:rPr>
            </w:pPr>
          </w:p>
          <w:p w14:paraId="044E8E32">
            <w:pPr>
              <w:jc w:val="center"/>
              <w:rPr>
                <w:rFonts w:hint="eastAsia" w:asciiTheme="minorEastAsia" w:hAnsiTheme="minorEastAsia" w:eastAsiaTheme="minorEastAsia" w:cstheme="minorEastAsia"/>
                <w:b/>
                <w:bCs/>
                <w:color w:val="auto"/>
                <w:sz w:val="24"/>
                <w:highlight w:val="none"/>
              </w:rPr>
            </w:pPr>
          </w:p>
          <w:p w14:paraId="60417E75">
            <w:pPr>
              <w:jc w:val="center"/>
              <w:rPr>
                <w:rFonts w:hint="eastAsia" w:asciiTheme="minorEastAsia" w:hAnsiTheme="minorEastAsia" w:eastAsiaTheme="minorEastAsia" w:cstheme="minorEastAsia"/>
                <w:b/>
                <w:bCs/>
                <w:color w:val="auto"/>
                <w:sz w:val="24"/>
                <w:highlight w:val="none"/>
                <w:lang w:val="en-GB"/>
              </w:rPr>
            </w:pPr>
          </w:p>
          <w:p w14:paraId="21EE7AE8">
            <w:pPr>
              <w:jc w:val="center"/>
              <w:rPr>
                <w:rFonts w:hint="eastAsia" w:asciiTheme="minorEastAsia" w:hAnsiTheme="minorEastAsia" w:eastAsiaTheme="minorEastAsia" w:cstheme="minorEastAsia"/>
                <w:b/>
                <w:bCs/>
                <w:color w:val="auto"/>
                <w:sz w:val="24"/>
                <w:highlight w:val="none"/>
                <w:lang w:val="en-GB"/>
              </w:rPr>
            </w:pPr>
          </w:p>
          <w:p w14:paraId="02F2952A">
            <w:pPr>
              <w:spacing w:line="360" w:lineRule="auto"/>
              <w:jc w:val="center"/>
              <w:rPr>
                <w:rFonts w:hint="eastAsia" w:asciiTheme="minorEastAsia" w:hAnsiTheme="minorEastAsia" w:eastAsiaTheme="minorEastAsia" w:cstheme="minorEastAsia"/>
                <w:b/>
                <w:bCs/>
                <w:color w:val="auto"/>
                <w:sz w:val="72"/>
                <w:szCs w:val="72"/>
                <w:highlight w:val="none"/>
              </w:rPr>
            </w:pPr>
            <w:r>
              <w:rPr>
                <w:rFonts w:hint="eastAsia" w:asciiTheme="minorEastAsia" w:hAnsiTheme="minorEastAsia" w:eastAsiaTheme="minorEastAsia" w:cstheme="minorEastAsia"/>
                <w:b/>
                <w:bCs/>
                <w:color w:val="auto"/>
                <w:sz w:val="72"/>
                <w:szCs w:val="72"/>
                <w:highlight w:val="none"/>
                <w:lang w:eastAsia="zh-CN"/>
              </w:rPr>
              <w:t>报价</w:t>
            </w:r>
            <w:r>
              <w:rPr>
                <w:rFonts w:hint="eastAsia" w:asciiTheme="minorEastAsia" w:hAnsiTheme="minorEastAsia" w:eastAsiaTheme="minorEastAsia" w:cstheme="minorEastAsia"/>
                <w:b/>
                <w:bCs/>
                <w:color w:val="auto"/>
                <w:sz w:val="72"/>
                <w:szCs w:val="72"/>
                <w:highlight w:val="none"/>
              </w:rPr>
              <w:t>文件</w:t>
            </w:r>
          </w:p>
          <w:p w14:paraId="2F2F03FD">
            <w:pPr>
              <w:jc w:val="center"/>
              <w:rPr>
                <w:rFonts w:hint="eastAsia" w:asciiTheme="minorEastAsia" w:hAnsiTheme="minorEastAsia" w:eastAsiaTheme="minorEastAsia" w:cstheme="minorEastAsia"/>
                <w:b/>
                <w:bCs/>
                <w:color w:val="auto"/>
                <w:sz w:val="24"/>
                <w:highlight w:val="none"/>
                <w:lang w:val="en-GB"/>
              </w:rPr>
            </w:pPr>
          </w:p>
          <w:p w14:paraId="11547BB5">
            <w:pPr>
              <w:spacing w:line="300" w:lineRule="auto"/>
              <w:jc w:val="center"/>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bCs/>
                <w:color w:val="auto"/>
                <w:sz w:val="24"/>
                <w:highlight w:val="none"/>
                <w:lang w:val="en-GB"/>
              </w:rPr>
              <w:t>密封内容：</w:t>
            </w:r>
            <w:r>
              <w:rPr>
                <w:rFonts w:hint="eastAsia" w:asciiTheme="minorEastAsia" w:hAnsiTheme="minorEastAsia" w:eastAsiaTheme="minorEastAsia" w:cstheme="minorEastAsia"/>
                <w:color w:val="auto"/>
                <w:sz w:val="24"/>
                <w:highlight w:val="none"/>
                <w:lang w:eastAsia="zh-CN"/>
              </w:rPr>
              <w:t>报价</w:t>
            </w:r>
            <w:r>
              <w:rPr>
                <w:rFonts w:hint="eastAsia" w:asciiTheme="minorEastAsia" w:hAnsiTheme="minorEastAsia" w:eastAsiaTheme="minorEastAsia" w:cstheme="minorEastAsia"/>
                <w:color w:val="auto"/>
                <w:sz w:val="24"/>
                <w:highlight w:val="none"/>
              </w:rPr>
              <w:t>文件（□正本/□副本/□电子光盘）</w:t>
            </w:r>
          </w:p>
          <w:p w14:paraId="136BE569">
            <w:pPr>
              <w:spacing w:line="360" w:lineRule="auto"/>
              <w:jc w:val="center"/>
              <w:rPr>
                <w:rFonts w:hint="eastAsia" w:asciiTheme="minorEastAsia" w:hAnsiTheme="minorEastAsia" w:eastAsiaTheme="minorEastAsia" w:cstheme="minorEastAsia"/>
                <w:b/>
                <w:color w:val="auto"/>
                <w:szCs w:val="21"/>
                <w:highlight w:val="none"/>
                <w:lang w:val="en-GB"/>
              </w:rPr>
            </w:pPr>
            <w:r>
              <w:rPr>
                <w:rFonts w:hint="eastAsia" w:asciiTheme="minorEastAsia" w:hAnsiTheme="minorEastAsia" w:eastAsiaTheme="minorEastAsia" w:cstheme="minorEastAsia"/>
                <w:b/>
                <w:color w:val="auto"/>
                <w:szCs w:val="21"/>
                <w:highlight w:val="none"/>
                <w:lang w:eastAsia="zh-CN"/>
              </w:rPr>
              <w:t>投标人</w:t>
            </w:r>
            <w:r>
              <w:rPr>
                <w:rFonts w:hint="eastAsia" w:asciiTheme="minorEastAsia" w:hAnsiTheme="minorEastAsia" w:eastAsiaTheme="minorEastAsia" w:cstheme="minorEastAsia"/>
                <w:b/>
                <w:color w:val="auto"/>
                <w:szCs w:val="21"/>
                <w:highlight w:val="none"/>
                <w:lang w:val="en-GB"/>
              </w:rPr>
              <w:t>于密封前自行对上述资料的密封情况进行自查，并于相应“□”处中打“√”</w:t>
            </w:r>
          </w:p>
          <w:p w14:paraId="6CE18DEC">
            <w:pPr>
              <w:ind w:firstLine="2474" w:firstLineChars="1027"/>
              <w:rPr>
                <w:rFonts w:hint="eastAsia" w:asciiTheme="minorEastAsia" w:hAnsiTheme="minorEastAsia" w:eastAsiaTheme="minorEastAsia" w:cstheme="minorEastAsia"/>
                <w:b/>
                <w:color w:val="auto"/>
                <w:sz w:val="24"/>
                <w:szCs w:val="36"/>
                <w:highlight w:val="none"/>
                <w:lang w:val="en-GB"/>
              </w:rPr>
            </w:pPr>
          </w:p>
          <w:p w14:paraId="618E9717">
            <w:pPr>
              <w:spacing w:line="360" w:lineRule="auto"/>
              <w:ind w:right="145" w:rightChars="69"/>
              <w:jc w:val="center"/>
              <w:rPr>
                <w:rFonts w:hint="eastAsia" w:asciiTheme="minorEastAsia" w:hAnsiTheme="minorEastAsia" w:eastAsiaTheme="minorEastAsia" w:cstheme="minorEastAsia"/>
                <w:b/>
                <w:color w:val="auto"/>
                <w:sz w:val="24"/>
                <w:highlight w:val="none"/>
                <w:lang w:val="en-GB" w:eastAsia="zh-CN"/>
              </w:rPr>
            </w:pPr>
            <w:r>
              <w:rPr>
                <w:rFonts w:hint="eastAsia" w:asciiTheme="minorEastAsia" w:hAnsiTheme="minorEastAsia" w:eastAsiaTheme="minorEastAsia" w:cstheme="minorEastAsia"/>
                <w:b/>
                <w:bCs/>
                <w:color w:val="auto"/>
                <w:sz w:val="24"/>
                <w:highlight w:val="none"/>
              </w:rPr>
              <w:t>项目名称</w:t>
            </w:r>
            <w:r>
              <w:rPr>
                <w:rFonts w:hint="eastAsia" w:asciiTheme="minorEastAsia" w:hAnsiTheme="minorEastAsia" w:eastAsiaTheme="minorEastAsia" w:cstheme="minorEastAsia"/>
                <w:b/>
                <w:color w:val="auto"/>
                <w:sz w:val="24"/>
                <w:highlight w:val="none"/>
                <w:lang w:val="en-GB"/>
              </w:rPr>
              <w:t>：</w:t>
            </w:r>
            <w:r>
              <w:rPr>
                <w:rFonts w:hint="eastAsia" w:asciiTheme="minorEastAsia" w:hAnsiTheme="minorEastAsia" w:eastAsiaTheme="minorEastAsia" w:cstheme="minorEastAsia"/>
                <w:b/>
                <w:color w:val="auto"/>
                <w:sz w:val="24"/>
                <w:highlight w:val="none"/>
                <w:lang w:val="en-GB" w:eastAsia="zh-CN"/>
              </w:rPr>
              <w:t>吉利邓岗村车辆停放管理服务</w:t>
            </w:r>
          </w:p>
          <w:p w14:paraId="5F9F8AA8">
            <w:pPr>
              <w:ind w:firstLine="1079" w:firstLineChars="448"/>
              <w:rPr>
                <w:rFonts w:hint="eastAsia" w:asciiTheme="minorEastAsia" w:hAnsiTheme="minorEastAsia" w:eastAsiaTheme="minorEastAsia" w:cstheme="minorEastAsia"/>
                <w:b/>
                <w:bCs/>
                <w:color w:val="auto"/>
                <w:sz w:val="24"/>
                <w:highlight w:val="none"/>
              </w:rPr>
            </w:pPr>
          </w:p>
          <w:p w14:paraId="7CA8800A">
            <w:pPr>
              <w:ind w:firstLine="1079" w:firstLineChars="448"/>
              <w:rPr>
                <w:rFonts w:hint="eastAsia" w:asciiTheme="minorEastAsia" w:hAnsiTheme="minorEastAsia" w:eastAsiaTheme="minorEastAsia" w:cstheme="minorEastAsia"/>
                <w:b/>
                <w:bCs/>
                <w:color w:val="auto"/>
                <w:sz w:val="24"/>
                <w:highlight w:val="none"/>
              </w:rPr>
            </w:pPr>
          </w:p>
          <w:p w14:paraId="242C5CA5">
            <w:pPr>
              <w:ind w:firstLine="1079" w:firstLineChars="448"/>
              <w:rPr>
                <w:rFonts w:hint="eastAsia" w:asciiTheme="minorEastAsia" w:hAnsiTheme="minorEastAsia" w:eastAsiaTheme="minorEastAsia" w:cstheme="minorEastAsia"/>
                <w:b/>
                <w:bCs/>
                <w:color w:val="auto"/>
                <w:sz w:val="24"/>
                <w:highlight w:val="none"/>
              </w:rPr>
            </w:pPr>
          </w:p>
          <w:p w14:paraId="35FA799D">
            <w:pPr>
              <w:ind w:firstLine="1079" w:firstLineChars="448"/>
              <w:rPr>
                <w:rFonts w:hint="eastAsia" w:asciiTheme="minorEastAsia" w:hAnsiTheme="minorEastAsia" w:eastAsiaTheme="minorEastAsia" w:cstheme="minorEastAsia"/>
                <w:b/>
                <w:bCs/>
                <w:color w:val="auto"/>
                <w:sz w:val="24"/>
                <w:highlight w:val="none"/>
              </w:rPr>
            </w:pPr>
          </w:p>
          <w:p w14:paraId="72EABAE7">
            <w:pPr>
              <w:spacing w:line="360" w:lineRule="auto"/>
              <w:jc w:val="center"/>
              <w:rPr>
                <w:rFonts w:hint="eastAsia" w:asciiTheme="minorEastAsia" w:hAnsiTheme="minorEastAsia" w:eastAsiaTheme="minorEastAsia" w:cstheme="minorEastAsia"/>
                <w:bCs/>
                <w:color w:val="auto"/>
                <w:sz w:val="24"/>
                <w:highlight w:val="none"/>
              </w:rPr>
            </w:pPr>
            <w:r>
              <w:rPr>
                <w:rFonts w:hint="eastAsia" w:asciiTheme="minorEastAsia" w:hAnsiTheme="minorEastAsia" w:eastAsiaTheme="minorEastAsia" w:cstheme="minorEastAsia"/>
                <w:bCs/>
                <w:color w:val="auto"/>
                <w:sz w:val="28"/>
                <w:highlight w:val="none"/>
              </w:rPr>
              <w:t>投标人：(加盖公章)</w:t>
            </w:r>
          </w:p>
          <w:p w14:paraId="777EDA88">
            <w:pPr>
              <w:jc w:val="center"/>
              <w:rPr>
                <w:rFonts w:hint="eastAsia" w:asciiTheme="minorEastAsia" w:hAnsiTheme="minorEastAsia" w:eastAsiaTheme="minorEastAsia" w:cstheme="minorEastAsia"/>
                <w:bCs/>
                <w:color w:val="auto"/>
                <w:sz w:val="28"/>
                <w:szCs w:val="28"/>
                <w:highlight w:val="none"/>
              </w:rPr>
            </w:pPr>
          </w:p>
          <w:p w14:paraId="5F574DAC">
            <w:pPr>
              <w:spacing w:after="120" w:afterLines="50"/>
              <w:jc w:val="center"/>
              <w:rPr>
                <w:rFonts w:hint="eastAsia" w:asciiTheme="minorEastAsia" w:hAnsiTheme="minorEastAsia" w:eastAsiaTheme="minorEastAsia" w:cstheme="minorEastAsia"/>
                <w:bCs/>
                <w:color w:val="auto"/>
                <w:sz w:val="28"/>
                <w:szCs w:val="28"/>
                <w:highlight w:val="none"/>
              </w:rPr>
            </w:pPr>
            <w:r>
              <w:rPr>
                <w:rFonts w:hint="eastAsia" w:asciiTheme="minorEastAsia" w:hAnsiTheme="minorEastAsia" w:eastAsiaTheme="minorEastAsia" w:cstheme="minorEastAsia"/>
                <w:bCs/>
                <w:color w:val="auto"/>
                <w:sz w:val="28"/>
                <w:szCs w:val="28"/>
                <w:highlight w:val="none"/>
              </w:rPr>
              <w:t>在</w:t>
            </w:r>
            <w:r>
              <w:rPr>
                <w:rFonts w:hint="eastAsia" w:asciiTheme="minorEastAsia" w:hAnsiTheme="minorEastAsia" w:eastAsiaTheme="minorEastAsia" w:cstheme="minorEastAsia"/>
                <w:bCs/>
                <w:color w:val="auto"/>
                <w:sz w:val="28"/>
                <w:szCs w:val="28"/>
                <w:highlight w:val="none"/>
                <w:lang w:eastAsia="zh-CN"/>
              </w:rPr>
              <w:t>2024年</w:t>
            </w:r>
            <w:r>
              <w:rPr>
                <w:rFonts w:hint="eastAsia" w:asciiTheme="minorEastAsia" w:hAnsiTheme="minorEastAsia" w:eastAsiaTheme="minorEastAsia" w:cstheme="minorEastAsia"/>
                <w:bCs/>
                <w:color w:val="auto"/>
                <w:sz w:val="28"/>
                <w:szCs w:val="28"/>
                <w:highlight w:val="none"/>
              </w:rPr>
              <w:t>月日午：之前不得启封</w:t>
            </w:r>
          </w:p>
          <w:p w14:paraId="32DC79A8">
            <w:pPr>
              <w:ind w:firstLine="2800" w:firstLineChars="1000"/>
              <w:rPr>
                <w:rFonts w:hint="eastAsia" w:asciiTheme="minorEastAsia" w:hAnsiTheme="minorEastAsia" w:eastAsiaTheme="minorEastAsia" w:cstheme="minorEastAsia"/>
                <w:bCs/>
                <w:color w:val="auto"/>
                <w:sz w:val="28"/>
                <w:szCs w:val="28"/>
                <w:highlight w:val="none"/>
              </w:rPr>
            </w:pPr>
          </w:p>
          <w:p w14:paraId="648014C0">
            <w:pPr>
              <w:ind w:firstLine="1400" w:firstLineChars="500"/>
              <w:rPr>
                <w:rFonts w:hint="eastAsia" w:asciiTheme="minorEastAsia" w:hAnsiTheme="minorEastAsia" w:eastAsiaTheme="minorEastAsia" w:cstheme="minorEastAsia"/>
                <w:color w:val="auto"/>
                <w:sz w:val="24"/>
                <w:highlight w:val="none"/>
                <w:u w:val="single"/>
                <w:lang w:eastAsia="zh-CN"/>
              </w:rPr>
            </w:pPr>
            <w:r>
              <w:rPr>
                <w:rFonts w:hint="eastAsia" w:asciiTheme="minorEastAsia" w:hAnsiTheme="minorEastAsia" w:eastAsiaTheme="minorEastAsia" w:cstheme="minorEastAsia"/>
                <w:bCs/>
                <w:color w:val="auto"/>
                <w:sz w:val="28"/>
                <w:szCs w:val="28"/>
                <w:highlight w:val="none"/>
              </w:rPr>
              <w:t>递交地点：</w:t>
            </w:r>
          </w:p>
        </w:tc>
      </w:tr>
    </w:tbl>
    <w:p w14:paraId="2ADDCB4E">
      <w:pPr>
        <w:spacing w:before="120" w:beforeLines="50" w:line="360" w:lineRule="auto"/>
        <w:ind w:left="181"/>
        <w:rPr>
          <w:rFonts w:ascii="宋体"/>
          <w:b/>
          <w:bCs/>
          <w:color w:val="auto"/>
          <w:sz w:val="24"/>
          <w:highlight w:val="none"/>
          <w:lang w:val="en-GB"/>
        </w:rPr>
      </w:pPr>
    </w:p>
    <w:p w14:paraId="1509A06C">
      <w:pPr>
        <w:numPr>
          <w:ilvl w:val="0"/>
          <w:numId w:val="50"/>
        </w:numPr>
        <w:spacing w:before="120" w:beforeLines="50" w:line="360" w:lineRule="auto"/>
        <w:ind w:left="601"/>
        <w:rPr>
          <w:rFonts w:ascii="宋体"/>
          <w:b/>
          <w:bCs/>
          <w:color w:val="auto"/>
          <w:sz w:val="24"/>
          <w:highlight w:val="none"/>
          <w:lang w:val="en-GB"/>
        </w:rPr>
      </w:pPr>
      <w:r>
        <w:rPr>
          <w:rFonts w:hint="eastAsia" w:ascii="宋体" w:hAnsi="宋体"/>
          <w:b/>
          <w:bCs/>
          <w:color w:val="auto"/>
          <w:sz w:val="24"/>
          <w:highlight w:val="none"/>
          <w:lang w:val="en-GB"/>
        </w:rPr>
        <w:t>重要提示：</w:t>
      </w:r>
    </w:p>
    <w:p w14:paraId="2BEC32CA">
      <w:pPr>
        <w:numPr>
          <w:ilvl w:val="0"/>
          <w:numId w:val="54"/>
        </w:numPr>
        <w:tabs>
          <w:tab w:val="left" w:pos="900"/>
          <w:tab w:val="clear" w:pos="780"/>
        </w:tabs>
        <w:spacing w:line="300" w:lineRule="auto"/>
        <w:ind w:left="538" w:leftChars="256"/>
        <w:rPr>
          <w:color w:val="auto"/>
          <w:sz w:val="24"/>
          <w:highlight w:val="none"/>
          <w:lang w:val="en-GB"/>
        </w:rPr>
      </w:pPr>
      <w:r>
        <w:rPr>
          <w:rFonts w:hint="eastAsia" w:ascii="宋体" w:hAnsi="宋体"/>
          <w:color w:val="auto"/>
          <w:sz w:val="24"/>
          <w:highlight w:val="none"/>
          <w:lang w:val="en-GB" w:eastAsia="zh-CN"/>
        </w:rPr>
        <w:t>报价</w:t>
      </w:r>
      <w:r>
        <w:rPr>
          <w:rFonts w:hint="eastAsia" w:ascii="宋体" w:hAnsi="宋体"/>
          <w:color w:val="auto"/>
          <w:sz w:val="24"/>
          <w:highlight w:val="none"/>
          <w:lang w:val="en-GB"/>
        </w:rPr>
        <w:t>文件的正本、副本、电子光盘，均应密封在同一密封包中。若上述资料确实无法密封在同一密封包中，则可按实际情况分开密封，但须在密封包装上标明密封内容。</w:t>
      </w:r>
    </w:p>
    <w:p w14:paraId="4A605142">
      <w:pPr>
        <w:numPr>
          <w:ilvl w:val="0"/>
          <w:numId w:val="54"/>
        </w:numPr>
        <w:tabs>
          <w:tab w:val="left" w:pos="900"/>
          <w:tab w:val="clear" w:pos="780"/>
        </w:tabs>
        <w:spacing w:line="300" w:lineRule="auto"/>
        <w:ind w:left="538" w:leftChars="256"/>
        <w:rPr>
          <w:color w:val="auto"/>
          <w:sz w:val="24"/>
          <w:highlight w:val="none"/>
          <w:lang w:val="en-GB"/>
        </w:rPr>
      </w:pPr>
      <w:r>
        <w:rPr>
          <w:rFonts w:hint="eastAsia" w:ascii="宋体" w:hAnsi="宋体"/>
          <w:color w:val="auto"/>
          <w:sz w:val="24"/>
          <w:highlight w:val="none"/>
          <w:lang w:val="en-GB"/>
        </w:rPr>
        <w:t>密封各文件资料时，应</w:t>
      </w:r>
      <w:r>
        <w:rPr>
          <w:rFonts w:hint="eastAsia" w:ascii="宋体" w:hAnsi="宋体"/>
          <w:color w:val="auto"/>
          <w:sz w:val="24"/>
          <w:highlight w:val="none"/>
          <w:u w:val="single"/>
          <w:lang w:val="en-GB"/>
        </w:rPr>
        <w:t>在密封包装的封口</w:t>
      </w:r>
      <w:r>
        <w:rPr>
          <w:rFonts w:hint="eastAsia" w:ascii="宋体" w:hAnsi="宋体"/>
          <w:color w:val="auto"/>
          <w:sz w:val="24"/>
          <w:highlight w:val="none"/>
          <w:lang w:val="en-GB"/>
        </w:rPr>
        <w:t>处加盖</w:t>
      </w:r>
      <w:r>
        <w:rPr>
          <w:rFonts w:hint="eastAsia" w:ascii="宋体" w:hAnsi="宋体"/>
          <w:color w:val="auto"/>
          <w:sz w:val="24"/>
          <w:highlight w:val="none"/>
          <w:lang w:val="en-GB" w:eastAsia="zh-CN"/>
        </w:rPr>
        <w:t>投标人</w:t>
      </w:r>
      <w:r>
        <w:rPr>
          <w:rFonts w:hint="eastAsia" w:ascii="宋体" w:hAnsi="宋体"/>
          <w:color w:val="auto"/>
          <w:sz w:val="24"/>
          <w:highlight w:val="none"/>
          <w:lang w:val="en-GB"/>
        </w:rPr>
        <w:t>公章。</w:t>
      </w:r>
    </w:p>
    <w:p w14:paraId="603DF648">
      <w:pPr>
        <w:pStyle w:val="6"/>
        <w:rPr>
          <w:highlight w:val="none"/>
        </w:rPr>
      </w:pPr>
      <w:r>
        <w:rPr>
          <w:rFonts w:hint="eastAsia" w:ascii="宋体" w:hAnsi="宋体"/>
          <w:color w:val="auto"/>
          <w:sz w:val="24"/>
          <w:highlight w:val="none"/>
          <w:lang w:val="en-GB"/>
        </w:rPr>
        <w:t>因交通或有不便，递交</w:t>
      </w:r>
      <w:r>
        <w:rPr>
          <w:rFonts w:hint="eastAsia" w:ascii="宋体" w:hAnsi="宋体"/>
          <w:color w:val="auto"/>
          <w:sz w:val="24"/>
          <w:highlight w:val="none"/>
          <w:lang w:val="en-GB" w:eastAsia="zh-CN"/>
        </w:rPr>
        <w:t>竞投</w:t>
      </w:r>
      <w:r>
        <w:rPr>
          <w:rFonts w:hint="eastAsia" w:ascii="宋体" w:hAnsi="宋体"/>
          <w:color w:val="auto"/>
          <w:sz w:val="24"/>
          <w:highlight w:val="none"/>
          <w:lang w:val="en-GB"/>
        </w:rPr>
        <w:t>文件时务请</w:t>
      </w:r>
      <w:r>
        <w:rPr>
          <w:rFonts w:hint="eastAsia" w:ascii="宋体" w:hAnsi="宋体"/>
          <w:b/>
          <w:color w:val="auto"/>
          <w:sz w:val="24"/>
          <w:highlight w:val="none"/>
          <w:u w:val="single"/>
          <w:lang w:val="en-GB"/>
        </w:rPr>
        <w:t>提早到达</w:t>
      </w:r>
    </w:p>
    <w:sectPr>
      <w:pgSz w:w="11850" w:h="16783"/>
      <w:pgMar w:top="1134" w:right="1134" w:bottom="1134" w:left="1417" w:header="573" w:footer="584" w:gutter="0"/>
      <w:pgBorders>
        <w:top w:val="none" w:sz="0" w:space="0"/>
        <w:left w:val="none" w:sz="0" w:space="0"/>
        <w:bottom w:val="none" w:sz="0" w:space="0"/>
        <w:right w:val="none" w:sz="0" w:space="0"/>
      </w:pgBorders>
      <w:pgNumType w:fmt="decimal"/>
      <w:cols w:space="0" w:num="1"/>
      <w:rtlGutter w:val="0"/>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等线">
    <w:panose1 w:val="02010600030101010101"/>
    <w:charset w:val="86"/>
    <w:family w:val="auto"/>
    <w:pitch w:val="default"/>
    <w:sig w:usb0="A00002BF" w:usb1="38CF7CFA" w:usb2="00000016" w:usb3="00000000" w:csb0="0004000F" w:csb1="00000000"/>
  </w:font>
  <w:font w:name="隶书">
    <w:panose1 w:val="02010509060101010101"/>
    <w:charset w:val="86"/>
    <w:family w:val="modern"/>
    <w:pitch w:val="default"/>
    <w:sig w:usb0="00000001" w:usb1="080E0000" w:usb2="0000000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01E4E6C">
    <w:pPr>
      <w:pStyle w:val="1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5D6A0DE">
                          <w:pPr>
                            <w:pStyle w:val="13"/>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05D6A0DE">
                    <w:pPr>
                      <w:pStyle w:val="13"/>
                    </w:pPr>
                    <w:r>
                      <w:fldChar w:fldCharType="begin"/>
                    </w:r>
                    <w:r>
                      <w:instrText xml:space="preserve"> PAGE  \* MERGEFORMAT </w:instrText>
                    </w:r>
                    <w:r>
                      <w:fldChar w:fldCharType="separate"/>
                    </w:r>
                    <w:r>
                      <w:t>2</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57D4C3C">
    <w:pPr>
      <w:pStyle w:val="13"/>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DA0EBF1">
                          <w:pPr>
                            <w:pStyle w:val="13"/>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14:paraId="4DA0EBF1">
                    <w:pPr>
                      <w:pStyle w:val="13"/>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17ADBE5">
    <w:pPr>
      <w:pStyle w:val="13"/>
      <w:tabs>
        <w:tab w:val="right" w:pos="8640"/>
        <w:tab w:val="clear" w:pos="8306"/>
      </w:tabs>
      <w:ind w:right="-176" w:rightChars="-84"/>
      <w:jc w:val="right"/>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3F80A0B">
                          <w:pPr>
                            <w:pStyle w:val="13"/>
                          </w:pPr>
                          <w:r>
                            <w:fldChar w:fldCharType="begin"/>
                          </w:r>
                          <w:r>
                            <w:instrText xml:space="preserve"> PAGE  \* MERGEFORMAT </w:instrText>
                          </w:r>
                          <w:r>
                            <w:fldChar w:fldCharType="separate"/>
                          </w:r>
                          <w:r>
                            <w:t>40</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qMOCsyAgAAYQQAAA4AAABkcnMvZTJvRG9jLnhtbK1UzY7TMBC+I/EO&#10;lu80aVl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5RoplCwU/fv51+&#10;/Dr9/Equojyt9TNEPVjEhe6t6dA0w7nHYWTdVU7FL/gQ+CHu8SKu6ALh8dJ0Mp3mcHH4hg3ws8fr&#10;1vnwThhFolFQh+olUdlh40MfOoTEbNqsGylTBaUmbUGvX7/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uow4KzICAABhBAAADgAAAAAAAAABACAAAAAfAQAAZHJzL2Uyb0RvYy54bWxQSwUG&#10;AAAAAAYABgBZAQAAwwUAAAAA&#10;">
              <v:fill on="f" focussize="0,0"/>
              <v:stroke on="f" weight="0.5pt"/>
              <v:imagedata o:title=""/>
              <o:lock v:ext="edit" aspectratio="f"/>
              <v:textbox inset="0mm,0mm,0mm,0mm" style="mso-fit-shape-to-text:t;">
                <w:txbxContent>
                  <w:p w14:paraId="73F80A0B">
                    <w:pPr>
                      <w:pStyle w:val="13"/>
                    </w:pPr>
                    <w:r>
                      <w:fldChar w:fldCharType="begin"/>
                    </w:r>
                    <w:r>
                      <w:instrText xml:space="preserve"> PAGE  \* MERGEFORMAT </w:instrText>
                    </w:r>
                    <w:r>
                      <w:fldChar w:fldCharType="separate"/>
                    </w:r>
                    <w:r>
                      <w:t>40</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0F0C250">
    <w:pPr>
      <w:pStyle w:val="14"/>
      <w:pBdr>
        <w:bottom w:val="none" w:color="auto" w:sz="0" w:space="1"/>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9AB9BD9">
    <w:pPr>
      <w:spacing w:line="360" w:lineRule="auto"/>
      <w:rPr>
        <w:rFonts w:ascii="宋体"/>
        <w:spacing w:val="-18"/>
        <w:w w:val="90"/>
        <w:szCs w:val="21"/>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6F222B1"/>
    <w:multiLevelType w:val="singleLevel"/>
    <w:tmpl w:val="86F222B1"/>
    <w:lvl w:ilvl="0" w:tentative="0">
      <w:start w:val="1"/>
      <w:numFmt w:val="decimal"/>
      <w:lvlText w:val="%1."/>
      <w:lvlJc w:val="left"/>
      <w:pPr>
        <w:ind w:left="425" w:hanging="425"/>
      </w:pPr>
      <w:rPr>
        <w:rFonts w:hint="default"/>
      </w:rPr>
    </w:lvl>
  </w:abstractNum>
  <w:abstractNum w:abstractNumId="1">
    <w:nsid w:val="8C45EB85"/>
    <w:multiLevelType w:val="singleLevel"/>
    <w:tmpl w:val="8C45EB85"/>
    <w:lvl w:ilvl="0" w:tentative="0">
      <w:start w:val="1"/>
      <w:numFmt w:val="decimal"/>
      <w:lvlText w:val="(%1)"/>
      <w:lvlJc w:val="left"/>
      <w:pPr>
        <w:ind w:left="425" w:hanging="425"/>
      </w:pPr>
      <w:rPr>
        <w:rFonts w:hint="default"/>
      </w:rPr>
    </w:lvl>
  </w:abstractNum>
  <w:abstractNum w:abstractNumId="2">
    <w:nsid w:val="8EDE5DE2"/>
    <w:multiLevelType w:val="multilevel"/>
    <w:tmpl w:val="8EDE5DE2"/>
    <w:lvl w:ilvl="0" w:tentative="0">
      <w:start w:val="1"/>
      <w:numFmt w:val="decimal"/>
      <w:suff w:val="space"/>
      <w:lvlText w:val="%1."/>
      <w:lvlJc w:val="left"/>
      <w:pPr>
        <w:ind w:left="420" w:hanging="420"/>
      </w:pPr>
      <w:rPr>
        <w:rFonts w:hint="default" w:ascii="宋体" w:hAnsi="宋体" w:eastAsia="宋体" w:cstheme="minorEastAsia"/>
        <w:b/>
      </w:rPr>
    </w:lvl>
    <w:lvl w:ilvl="1" w:tentative="0">
      <w:start w:val="1"/>
      <w:numFmt w:val="decimal"/>
      <w:lvlText w:val="25.%2."/>
      <w:lvlJc w:val="left"/>
      <w:pPr>
        <w:tabs>
          <w:tab w:val="left" w:pos="840"/>
        </w:tabs>
        <w:ind w:left="840" w:hanging="420"/>
      </w:pPr>
      <w:rPr>
        <w:rFonts w:hint="default" w:ascii="Times New Roman" w:hAnsi="Times New Roman" w:cs="Times New Roman"/>
        <w:b w:val="0"/>
      </w:rPr>
    </w:lvl>
    <w:lvl w:ilvl="2" w:tentative="0">
      <w:start w:val="1"/>
      <w:numFmt w:val="lowerRoman"/>
      <w:lvlText w:val="%3."/>
      <w:lvlJc w:val="right"/>
      <w:pPr>
        <w:tabs>
          <w:tab w:val="left" w:pos="1260"/>
        </w:tabs>
        <w:ind w:left="1260" w:hanging="420"/>
      </w:pPr>
      <w:rPr>
        <w:rFonts w:cs="Times New Roman"/>
      </w:rPr>
    </w:lvl>
    <w:lvl w:ilvl="3" w:tentative="0">
      <w:start w:val="1"/>
      <w:numFmt w:val="decimal"/>
      <w:lvlText w:val="%4."/>
      <w:lvlJc w:val="left"/>
      <w:pPr>
        <w:tabs>
          <w:tab w:val="left" w:pos="1680"/>
        </w:tabs>
        <w:ind w:left="1680" w:hanging="420"/>
      </w:pPr>
      <w:rPr>
        <w:rFonts w:cs="Times New Roman"/>
      </w:rPr>
    </w:lvl>
    <w:lvl w:ilvl="4" w:tentative="0">
      <w:start w:val="1"/>
      <w:numFmt w:val="lowerLetter"/>
      <w:lvlText w:val="%5)"/>
      <w:lvlJc w:val="left"/>
      <w:pPr>
        <w:tabs>
          <w:tab w:val="left" w:pos="2100"/>
        </w:tabs>
        <w:ind w:left="2100" w:hanging="420"/>
      </w:pPr>
      <w:rPr>
        <w:rFonts w:cs="Times New Roman"/>
      </w:rPr>
    </w:lvl>
    <w:lvl w:ilvl="5" w:tentative="0">
      <w:start w:val="1"/>
      <w:numFmt w:val="lowerRoman"/>
      <w:lvlText w:val="%6."/>
      <w:lvlJc w:val="right"/>
      <w:pPr>
        <w:tabs>
          <w:tab w:val="left" w:pos="2520"/>
        </w:tabs>
        <w:ind w:left="2520" w:hanging="420"/>
      </w:pPr>
      <w:rPr>
        <w:rFonts w:cs="Times New Roman"/>
      </w:rPr>
    </w:lvl>
    <w:lvl w:ilvl="6" w:tentative="0">
      <w:start w:val="1"/>
      <w:numFmt w:val="decimal"/>
      <w:lvlText w:val="%7."/>
      <w:lvlJc w:val="left"/>
      <w:pPr>
        <w:tabs>
          <w:tab w:val="left" w:pos="2940"/>
        </w:tabs>
        <w:ind w:left="2940" w:hanging="420"/>
      </w:pPr>
      <w:rPr>
        <w:rFonts w:cs="Times New Roman"/>
      </w:rPr>
    </w:lvl>
    <w:lvl w:ilvl="7" w:tentative="0">
      <w:start w:val="1"/>
      <w:numFmt w:val="lowerLetter"/>
      <w:lvlText w:val="%8)"/>
      <w:lvlJc w:val="left"/>
      <w:pPr>
        <w:tabs>
          <w:tab w:val="left" w:pos="3360"/>
        </w:tabs>
        <w:ind w:left="3360" w:hanging="420"/>
      </w:pPr>
      <w:rPr>
        <w:rFonts w:cs="Times New Roman"/>
      </w:rPr>
    </w:lvl>
    <w:lvl w:ilvl="8" w:tentative="0">
      <w:start w:val="1"/>
      <w:numFmt w:val="lowerRoman"/>
      <w:lvlText w:val="%9."/>
      <w:lvlJc w:val="right"/>
      <w:pPr>
        <w:tabs>
          <w:tab w:val="left" w:pos="3780"/>
        </w:tabs>
        <w:ind w:left="3780" w:hanging="420"/>
      </w:pPr>
      <w:rPr>
        <w:rFonts w:cs="Times New Roman"/>
      </w:rPr>
    </w:lvl>
  </w:abstractNum>
  <w:abstractNum w:abstractNumId="3">
    <w:nsid w:val="8F9F341B"/>
    <w:multiLevelType w:val="singleLevel"/>
    <w:tmpl w:val="8F9F341B"/>
    <w:lvl w:ilvl="0" w:tentative="0">
      <w:start w:val="1"/>
      <w:numFmt w:val="chineseCounting"/>
      <w:suff w:val="nothing"/>
      <w:lvlText w:val="%1、"/>
      <w:lvlJc w:val="left"/>
      <w:pPr>
        <w:ind w:left="0" w:firstLine="420"/>
      </w:pPr>
      <w:rPr>
        <w:rFonts w:hint="eastAsia"/>
      </w:rPr>
    </w:lvl>
  </w:abstractNum>
  <w:abstractNum w:abstractNumId="4">
    <w:nsid w:val="94790CBC"/>
    <w:multiLevelType w:val="multilevel"/>
    <w:tmpl w:val="94790CBC"/>
    <w:lvl w:ilvl="0" w:tentative="0">
      <w:start w:val="1"/>
      <w:numFmt w:val="decimal"/>
      <w:lvlText w:val="%1."/>
      <w:lvlJc w:val="left"/>
      <w:pPr>
        <w:tabs>
          <w:tab w:val="left" w:pos="624"/>
        </w:tabs>
        <w:ind w:left="624" w:hanging="624"/>
      </w:pPr>
      <w:rPr>
        <w:rFonts w:hint="default" w:ascii="宋体" w:hAnsi="宋体" w:eastAsia="宋体" w:cs="宋体"/>
        <w:b/>
        <w:i w:val="0"/>
      </w:rPr>
    </w:lvl>
    <w:lvl w:ilvl="1" w:tentative="0">
      <w:start w:val="1"/>
      <w:numFmt w:val="decimal"/>
      <w:lvlText w:val="%1.%2"/>
      <w:lvlJc w:val="left"/>
      <w:pPr>
        <w:tabs>
          <w:tab w:val="left" w:pos="624"/>
        </w:tabs>
        <w:ind w:left="624" w:hanging="624"/>
      </w:pPr>
      <w:rPr>
        <w:rFonts w:hint="default" w:ascii="宋体" w:hAnsi="宋体" w:eastAsia="宋体" w:cs="宋体"/>
        <w:b w:val="0"/>
        <w:i w:val="0"/>
        <w:sz w:val="24"/>
        <w:szCs w:val="24"/>
      </w:rPr>
    </w:lvl>
    <w:lvl w:ilvl="2" w:tentative="0">
      <w:start w:val="1"/>
      <w:numFmt w:val="decimal"/>
      <w:lvlText w:val="%1.%2.%3."/>
      <w:lvlJc w:val="left"/>
      <w:pPr>
        <w:tabs>
          <w:tab w:val="left" w:pos="709"/>
        </w:tabs>
        <w:ind w:left="709" w:hanging="709"/>
      </w:pPr>
      <w:rPr>
        <w:rFonts w:hint="eastAsia"/>
      </w:rPr>
    </w:lvl>
    <w:lvl w:ilvl="3" w:tentative="0">
      <w:start w:val="1"/>
      <w:numFmt w:val="decimal"/>
      <w:lvlText w:val="%1.%2.%3.%4."/>
      <w:lvlJc w:val="left"/>
      <w:pPr>
        <w:tabs>
          <w:tab w:val="left" w:pos="851"/>
        </w:tabs>
        <w:ind w:left="851" w:hanging="851"/>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5">
    <w:nsid w:val="94A90165"/>
    <w:multiLevelType w:val="multilevel"/>
    <w:tmpl w:val="94A90165"/>
    <w:lvl w:ilvl="0" w:tentative="0">
      <w:start w:val="1"/>
      <w:numFmt w:val="decimal"/>
      <w:suff w:val="space"/>
      <w:lvlText w:val="%1."/>
      <w:lvlJc w:val="left"/>
      <w:pPr>
        <w:ind w:left="624" w:hanging="624"/>
      </w:pPr>
      <w:rPr>
        <w:rFonts w:hint="default" w:ascii="宋体" w:hAnsi="宋体" w:eastAsia="宋体" w:cs="宋体"/>
        <w:b/>
        <w:i w:val="0"/>
      </w:rPr>
    </w:lvl>
    <w:lvl w:ilvl="1" w:tentative="0">
      <w:start w:val="1"/>
      <w:numFmt w:val="decimal"/>
      <w:suff w:val="space"/>
      <w:lvlText w:val="%1.%2"/>
      <w:lvlJc w:val="left"/>
      <w:pPr>
        <w:ind w:left="624" w:hanging="624"/>
      </w:pPr>
      <w:rPr>
        <w:rFonts w:hint="default" w:ascii="宋体" w:hAnsi="宋体" w:eastAsia="宋体" w:cs="宋体"/>
        <w:b w:val="0"/>
        <w:i w:val="0"/>
        <w:color w:val="auto"/>
        <w:sz w:val="24"/>
        <w:szCs w:val="24"/>
      </w:rPr>
    </w:lvl>
    <w:lvl w:ilvl="2" w:tentative="0">
      <w:start w:val="1"/>
      <w:numFmt w:val="decimal"/>
      <w:suff w:val="space"/>
      <w:lvlText w:val="%1.%2.%3."/>
      <w:lvlJc w:val="left"/>
      <w:pPr>
        <w:ind w:left="709" w:hanging="709"/>
      </w:pPr>
      <w:rPr>
        <w:rFonts w:hint="default" w:ascii="宋体" w:hAnsi="宋体" w:eastAsia="宋体" w:cs="宋体"/>
      </w:rPr>
    </w:lvl>
    <w:lvl w:ilvl="3" w:tentative="0">
      <w:start w:val="1"/>
      <w:numFmt w:val="decimal"/>
      <w:suff w:val="space"/>
      <w:lvlText w:val="%1.%2.%3.%4."/>
      <w:lvlJc w:val="left"/>
      <w:pPr>
        <w:ind w:left="851" w:hanging="851"/>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6">
    <w:nsid w:val="96C4E0D9"/>
    <w:multiLevelType w:val="singleLevel"/>
    <w:tmpl w:val="96C4E0D9"/>
    <w:lvl w:ilvl="0" w:tentative="0">
      <w:start w:val="1"/>
      <w:numFmt w:val="decimal"/>
      <w:lvlText w:val="%1."/>
      <w:lvlJc w:val="left"/>
      <w:pPr>
        <w:ind w:left="425" w:hanging="425"/>
      </w:pPr>
      <w:rPr>
        <w:rFonts w:hint="default"/>
      </w:rPr>
    </w:lvl>
  </w:abstractNum>
  <w:abstractNum w:abstractNumId="7">
    <w:nsid w:val="9C06D687"/>
    <w:multiLevelType w:val="multilevel"/>
    <w:tmpl w:val="9C06D687"/>
    <w:lvl w:ilvl="0" w:tentative="0">
      <w:start w:val="1"/>
      <w:numFmt w:val="decimal"/>
      <w:lvlText w:val="%1."/>
      <w:lvlJc w:val="left"/>
      <w:pPr>
        <w:tabs>
          <w:tab w:val="left" w:pos="624"/>
        </w:tabs>
        <w:ind w:left="624" w:hanging="624"/>
      </w:pPr>
      <w:rPr>
        <w:rFonts w:hint="default" w:ascii="宋体" w:hAnsi="宋体" w:eastAsia="宋体" w:cs="宋体"/>
        <w:b/>
        <w:i w:val="0"/>
      </w:rPr>
    </w:lvl>
    <w:lvl w:ilvl="1" w:tentative="0">
      <w:start w:val="1"/>
      <w:numFmt w:val="decimal"/>
      <w:lvlText w:val="%1.%2"/>
      <w:lvlJc w:val="left"/>
      <w:pPr>
        <w:tabs>
          <w:tab w:val="left" w:pos="624"/>
        </w:tabs>
        <w:ind w:left="624" w:hanging="624"/>
      </w:pPr>
      <w:rPr>
        <w:rFonts w:hint="default" w:ascii="宋体" w:hAnsi="宋体" w:eastAsia="宋体" w:cs="宋体"/>
        <w:b w:val="0"/>
        <w:i w:val="0"/>
        <w:sz w:val="24"/>
        <w:szCs w:val="24"/>
      </w:rPr>
    </w:lvl>
    <w:lvl w:ilvl="2" w:tentative="0">
      <w:start w:val="1"/>
      <w:numFmt w:val="decimal"/>
      <w:lvlText w:val="%1.%2.%3."/>
      <w:lvlJc w:val="left"/>
      <w:pPr>
        <w:tabs>
          <w:tab w:val="left" w:pos="709"/>
        </w:tabs>
        <w:ind w:left="709" w:hanging="709"/>
      </w:pPr>
      <w:rPr>
        <w:rFonts w:hint="eastAsia"/>
      </w:rPr>
    </w:lvl>
    <w:lvl w:ilvl="3" w:tentative="0">
      <w:start w:val="1"/>
      <w:numFmt w:val="decimal"/>
      <w:lvlText w:val="%1.%2.%3.%4."/>
      <w:lvlJc w:val="left"/>
      <w:pPr>
        <w:tabs>
          <w:tab w:val="left" w:pos="851"/>
        </w:tabs>
        <w:ind w:left="851" w:hanging="851"/>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8">
    <w:nsid w:val="A3ACD813"/>
    <w:multiLevelType w:val="multilevel"/>
    <w:tmpl w:val="A3ACD813"/>
    <w:lvl w:ilvl="0" w:tentative="0">
      <w:start w:val="1"/>
      <w:numFmt w:val="decimal"/>
      <w:lvlText w:val="%1."/>
      <w:lvlJc w:val="left"/>
      <w:pPr>
        <w:tabs>
          <w:tab w:val="left" w:pos="624"/>
        </w:tabs>
        <w:ind w:left="624" w:hanging="624"/>
      </w:pPr>
      <w:rPr>
        <w:rFonts w:hint="default" w:ascii="宋体" w:hAnsi="宋体" w:eastAsia="宋体" w:cs="宋体"/>
        <w:b/>
        <w:i w:val="0"/>
      </w:rPr>
    </w:lvl>
    <w:lvl w:ilvl="1" w:tentative="0">
      <w:start w:val="1"/>
      <w:numFmt w:val="decimal"/>
      <w:lvlText w:val="%1.%2"/>
      <w:lvlJc w:val="left"/>
      <w:pPr>
        <w:tabs>
          <w:tab w:val="left" w:pos="624"/>
        </w:tabs>
        <w:ind w:left="624" w:hanging="624"/>
      </w:pPr>
      <w:rPr>
        <w:rFonts w:hint="default" w:ascii="宋体" w:hAnsi="宋体" w:eastAsia="宋体" w:cs="宋体"/>
        <w:b w:val="0"/>
        <w:i w:val="0"/>
        <w:sz w:val="24"/>
        <w:szCs w:val="24"/>
      </w:rPr>
    </w:lvl>
    <w:lvl w:ilvl="2" w:tentative="0">
      <w:start w:val="1"/>
      <w:numFmt w:val="decimal"/>
      <w:lvlText w:val="%1.%2.%3."/>
      <w:lvlJc w:val="left"/>
      <w:pPr>
        <w:tabs>
          <w:tab w:val="left" w:pos="709"/>
        </w:tabs>
        <w:ind w:left="709" w:hanging="709"/>
      </w:pPr>
      <w:rPr>
        <w:rFonts w:hint="eastAsia"/>
      </w:rPr>
    </w:lvl>
    <w:lvl w:ilvl="3" w:tentative="0">
      <w:start w:val="1"/>
      <w:numFmt w:val="decimal"/>
      <w:lvlText w:val="%1.%2.%3.%4."/>
      <w:lvlJc w:val="left"/>
      <w:pPr>
        <w:tabs>
          <w:tab w:val="left" w:pos="851"/>
        </w:tabs>
        <w:ind w:left="851" w:hanging="851"/>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9">
    <w:nsid w:val="BF2A6F8D"/>
    <w:multiLevelType w:val="multilevel"/>
    <w:tmpl w:val="BF2A6F8D"/>
    <w:lvl w:ilvl="0" w:tentative="0">
      <w:start w:val="1"/>
      <w:numFmt w:val="decimal"/>
      <w:lvlText w:val="%1."/>
      <w:lvlJc w:val="left"/>
      <w:pPr>
        <w:tabs>
          <w:tab w:val="left" w:pos="624"/>
        </w:tabs>
        <w:ind w:left="624" w:hanging="624"/>
      </w:pPr>
      <w:rPr>
        <w:rFonts w:hint="default" w:ascii="宋体" w:hAnsi="宋体" w:eastAsia="宋体" w:cs="宋体"/>
        <w:b/>
        <w:i w:val="0"/>
      </w:rPr>
    </w:lvl>
    <w:lvl w:ilvl="1" w:tentative="0">
      <w:start w:val="1"/>
      <w:numFmt w:val="decimal"/>
      <w:lvlText w:val="%1.%2"/>
      <w:lvlJc w:val="left"/>
      <w:pPr>
        <w:tabs>
          <w:tab w:val="left" w:pos="624"/>
        </w:tabs>
        <w:ind w:left="624" w:hanging="624"/>
      </w:pPr>
      <w:rPr>
        <w:rFonts w:hint="default" w:ascii="宋体" w:hAnsi="宋体" w:eastAsia="宋体" w:cs="宋体"/>
        <w:b w:val="0"/>
        <w:i w:val="0"/>
        <w:sz w:val="24"/>
        <w:szCs w:val="24"/>
      </w:rPr>
    </w:lvl>
    <w:lvl w:ilvl="2" w:tentative="0">
      <w:start w:val="1"/>
      <w:numFmt w:val="decimal"/>
      <w:lvlText w:val="%1.%2.%3."/>
      <w:lvlJc w:val="left"/>
      <w:pPr>
        <w:tabs>
          <w:tab w:val="left" w:pos="709"/>
        </w:tabs>
        <w:ind w:left="709" w:hanging="709"/>
      </w:pPr>
      <w:rPr>
        <w:rFonts w:hint="eastAsia"/>
      </w:rPr>
    </w:lvl>
    <w:lvl w:ilvl="3" w:tentative="0">
      <w:start w:val="1"/>
      <w:numFmt w:val="decimal"/>
      <w:lvlText w:val="%1.%2.%3.%4."/>
      <w:lvlJc w:val="left"/>
      <w:pPr>
        <w:tabs>
          <w:tab w:val="left" w:pos="851"/>
        </w:tabs>
        <w:ind w:left="851" w:hanging="851"/>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10">
    <w:nsid w:val="C05C55A9"/>
    <w:multiLevelType w:val="multilevel"/>
    <w:tmpl w:val="C05C55A9"/>
    <w:lvl w:ilvl="0" w:tentative="0">
      <w:start w:val="1"/>
      <w:numFmt w:val="decimal"/>
      <w:lvlText w:val="%1."/>
      <w:lvlJc w:val="left"/>
      <w:pPr>
        <w:tabs>
          <w:tab w:val="left" w:pos="624"/>
        </w:tabs>
        <w:ind w:left="624" w:hanging="624"/>
      </w:pPr>
      <w:rPr>
        <w:rFonts w:hint="default" w:ascii="宋体" w:hAnsi="宋体" w:eastAsia="宋体" w:cs="宋体"/>
        <w:b/>
        <w:i w:val="0"/>
      </w:rPr>
    </w:lvl>
    <w:lvl w:ilvl="1" w:tentative="0">
      <w:start w:val="1"/>
      <w:numFmt w:val="decimal"/>
      <w:lvlText w:val="%1.%2"/>
      <w:lvlJc w:val="left"/>
      <w:pPr>
        <w:tabs>
          <w:tab w:val="left" w:pos="624"/>
        </w:tabs>
        <w:ind w:left="624" w:hanging="624"/>
      </w:pPr>
      <w:rPr>
        <w:rFonts w:hint="default" w:ascii="宋体" w:hAnsi="宋体" w:eastAsia="宋体" w:cs="宋体"/>
        <w:b w:val="0"/>
        <w:i w:val="0"/>
        <w:sz w:val="24"/>
        <w:szCs w:val="24"/>
      </w:rPr>
    </w:lvl>
    <w:lvl w:ilvl="2" w:tentative="0">
      <w:start w:val="1"/>
      <w:numFmt w:val="decimal"/>
      <w:lvlText w:val="%1.%2.%3."/>
      <w:lvlJc w:val="left"/>
      <w:pPr>
        <w:tabs>
          <w:tab w:val="left" w:pos="709"/>
        </w:tabs>
        <w:ind w:left="709" w:hanging="709"/>
      </w:pPr>
      <w:rPr>
        <w:rFonts w:hint="eastAsia"/>
      </w:rPr>
    </w:lvl>
    <w:lvl w:ilvl="3" w:tentative="0">
      <w:start w:val="1"/>
      <w:numFmt w:val="decimal"/>
      <w:lvlText w:val="%1.%2.%3.%4."/>
      <w:lvlJc w:val="left"/>
      <w:pPr>
        <w:tabs>
          <w:tab w:val="left" w:pos="851"/>
        </w:tabs>
        <w:ind w:left="851" w:hanging="851"/>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11">
    <w:nsid w:val="C6D8EF7A"/>
    <w:multiLevelType w:val="singleLevel"/>
    <w:tmpl w:val="C6D8EF7A"/>
    <w:lvl w:ilvl="0" w:tentative="0">
      <w:start w:val="1"/>
      <w:numFmt w:val="decimal"/>
      <w:lvlText w:val="%1."/>
      <w:lvlJc w:val="left"/>
      <w:pPr>
        <w:ind w:left="425" w:hanging="425"/>
      </w:pPr>
      <w:rPr>
        <w:rFonts w:hint="default"/>
      </w:rPr>
    </w:lvl>
  </w:abstractNum>
  <w:abstractNum w:abstractNumId="12">
    <w:nsid w:val="C806676E"/>
    <w:multiLevelType w:val="singleLevel"/>
    <w:tmpl w:val="C806676E"/>
    <w:lvl w:ilvl="0" w:tentative="0">
      <w:start w:val="1"/>
      <w:numFmt w:val="decimal"/>
      <w:lvlText w:val="%1."/>
      <w:lvlJc w:val="left"/>
      <w:pPr>
        <w:ind w:left="425" w:hanging="425"/>
      </w:pPr>
      <w:rPr>
        <w:rFonts w:hint="default"/>
      </w:rPr>
    </w:lvl>
  </w:abstractNum>
  <w:abstractNum w:abstractNumId="13">
    <w:nsid w:val="CC1A0DC1"/>
    <w:multiLevelType w:val="multilevel"/>
    <w:tmpl w:val="CC1A0DC1"/>
    <w:lvl w:ilvl="0" w:tentative="0">
      <w:start w:val="1"/>
      <w:numFmt w:val="decimal"/>
      <w:lvlText w:val="%1."/>
      <w:lvlJc w:val="left"/>
      <w:pPr>
        <w:tabs>
          <w:tab w:val="left" w:pos="624"/>
        </w:tabs>
        <w:ind w:left="624" w:hanging="624"/>
      </w:pPr>
      <w:rPr>
        <w:rFonts w:hint="default" w:ascii="宋体" w:hAnsi="宋体" w:eastAsia="宋体" w:cs="宋体"/>
        <w:b/>
        <w:i w:val="0"/>
      </w:rPr>
    </w:lvl>
    <w:lvl w:ilvl="1" w:tentative="0">
      <w:start w:val="1"/>
      <w:numFmt w:val="decimal"/>
      <w:lvlText w:val="%1.%2"/>
      <w:lvlJc w:val="left"/>
      <w:pPr>
        <w:tabs>
          <w:tab w:val="left" w:pos="624"/>
        </w:tabs>
        <w:ind w:left="624" w:hanging="624"/>
      </w:pPr>
      <w:rPr>
        <w:rFonts w:hint="default" w:ascii="宋体" w:hAnsi="宋体" w:eastAsia="宋体" w:cs="宋体"/>
        <w:b w:val="0"/>
        <w:i w:val="0"/>
        <w:sz w:val="24"/>
        <w:szCs w:val="24"/>
      </w:rPr>
    </w:lvl>
    <w:lvl w:ilvl="2" w:tentative="0">
      <w:start w:val="1"/>
      <w:numFmt w:val="decimal"/>
      <w:lvlText w:val="%1.%2.%3."/>
      <w:lvlJc w:val="left"/>
      <w:pPr>
        <w:tabs>
          <w:tab w:val="left" w:pos="709"/>
        </w:tabs>
        <w:ind w:left="709" w:hanging="709"/>
      </w:pPr>
      <w:rPr>
        <w:rFonts w:hint="eastAsia"/>
      </w:rPr>
    </w:lvl>
    <w:lvl w:ilvl="3" w:tentative="0">
      <w:start w:val="1"/>
      <w:numFmt w:val="decimal"/>
      <w:lvlText w:val="%1.%2.%3.%4."/>
      <w:lvlJc w:val="left"/>
      <w:pPr>
        <w:tabs>
          <w:tab w:val="left" w:pos="851"/>
        </w:tabs>
        <w:ind w:left="851" w:hanging="851"/>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14">
    <w:nsid w:val="D7FC863F"/>
    <w:multiLevelType w:val="singleLevel"/>
    <w:tmpl w:val="D7FC863F"/>
    <w:lvl w:ilvl="0" w:tentative="0">
      <w:start w:val="1"/>
      <w:numFmt w:val="decimal"/>
      <w:lvlText w:val="%1."/>
      <w:lvlJc w:val="left"/>
      <w:pPr>
        <w:ind w:left="425" w:hanging="425"/>
      </w:pPr>
      <w:rPr>
        <w:rFonts w:hint="default"/>
      </w:rPr>
    </w:lvl>
  </w:abstractNum>
  <w:abstractNum w:abstractNumId="15">
    <w:nsid w:val="D835A01B"/>
    <w:multiLevelType w:val="multilevel"/>
    <w:tmpl w:val="D835A01B"/>
    <w:lvl w:ilvl="0" w:tentative="0">
      <w:start w:val="1"/>
      <w:numFmt w:val="decimal"/>
      <w:lvlText w:val="（%1）"/>
      <w:lvlJc w:val="left"/>
      <w:pPr>
        <w:tabs>
          <w:tab w:val="left" w:pos="652"/>
        </w:tabs>
        <w:ind w:left="1106" w:hanging="680"/>
      </w:pPr>
      <w:rPr>
        <w:rFonts w:hint="eastAsia"/>
      </w:rPr>
    </w:lvl>
    <w:lvl w:ilvl="1" w:tentative="0">
      <w:start w:val="1"/>
      <w:numFmt w:val="lowerLetter"/>
      <w:lvlText w:val="%2)"/>
      <w:lvlJc w:val="left"/>
      <w:pPr>
        <w:tabs>
          <w:tab w:val="left" w:pos="415"/>
        </w:tabs>
        <w:ind w:left="415" w:hanging="420"/>
      </w:pPr>
    </w:lvl>
    <w:lvl w:ilvl="2" w:tentative="0">
      <w:start w:val="1"/>
      <w:numFmt w:val="lowerRoman"/>
      <w:lvlText w:val="%3."/>
      <w:lvlJc w:val="right"/>
      <w:pPr>
        <w:tabs>
          <w:tab w:val="left" w:pos="835"/>
        </w:tabs>
        <w:ind w:left="835" w:hanging="420"/>
      </w:pPr>
    </w:lvl>
    <w:lvl w:ilvl="3" w:tentative="0">
      <w:start w:val="1"/>
      <w:numFmt w:val="decimal"/>
      <w:lvlText w:val="%4."/>
      <w:lvlJc w:val="left"/>
      <w:pPr>
        <w:tabs>
          <w:tab w:val="left" w:pos="1255"/>
        </w:tabs>
        <w:ind w:left="1255" w:hanging="420"/>
      </w:pPr>
    </w:lvl>
    <w:lvl w:ilvl="4" w:tentative="0">
      <w:start w:val="1"/>
      <w:numFmt w:val="lowerLetter"/>
      <w:lvlText w:val="%5)"/>
      <w:lvlJc w:val="left"/>
      <w:pPr>
        <w:tabs>
          <w:tab w:val="left" w:pos="1675"/>
        </w:tabs>
        <w:ind w:left="1675" w:hanging="420"/>
      </w:pPr>
    </w:lvl>
    <w:lvl w:ilvl="5" w:tentative="0">
      <w:start w:val="1"/>
      <w:numFmt w:val="lowerRoman"/>
      <w:lvlText w:val="%6."/>
      <w:lvlJc w:val="right"/>
      <w:pPr>
        <w:tabs>
          <w:tab w:val="left" w:pos="2095"/>
        </w:tabs>
        <w:ind w:left="2095" w:hanging="420"/>
      </w:pPr>
    </w:lvl>
    <w:lvl w:ilvl="6" w:tentative="0">
      <w:start w:val="1"/>
      <w:numFmt w:val="decimal"/>
      <w:lvlText w:val="%7."/>
      <w:lvlJc w:val="left"/>
      <w:pPr>
        <w:tabs>
          <w:tab w:val="left" w:pos="2515"/>
        </w:tabs>
        <w:ind w:left="2515" w:hanging="420"/>
      </w:pPr>
    </w:lvl>
    <w:lvl w:ilvl="7" w:tentative="0">
      <w:start w:val="1"/>
      <w:numFmt w:val="lowerLetter"/>
      <w:lvlText w:val="%8)"/>
      <w:lvlJc w:val="left"/>
      <w:pPr>
        <w:tabs>
          <w:tab w:val="left" w:pos="2935"/>
        </w:tabs>
        <w:ind w:left="2935" w:hanging="420"/>
      </w:pPr>
    </w:lvl>
    <w:lvl w:ilvl="8" w:tentative="0">
      <w:start w:val="1"/>
      <w:numFmt w:val="lowerRoman"/>
      <w:lvlText w:val="%9."/>
      <w:lvlJc w:val="right"/>
      <w:pPr>
        <w:tabs>
          <w:tab w:val="left" w:pos="3355"/>
        </w:tabs>
        <w:ind w:left="3355" w:hanging="420"/>
      </w:pPr>
    </w:lvl>
  </w:abstractNum>
  <w:abstractNum w:abstractNumId="16">
    <w:nsid w:val="D8A96876"/>
    <w:multiLevelType w:val="singleLevel"/>
    <w:tmpl w:val="D8A96876"/>
    <w:lvl w:ilvl="0" w:tentative="0">
      <w:start w:val="1"/>
      <w:numFmt w:val="chineseCounting"/>
      <w:suff w:val="nothing"/>
      <w:lvlText w:val="（%1）"/>
      <w:lvlJc w:val="left"/>
      <w:pPr>
        <w:ind w:left="0" w:firstLine="420"/>
      </w:pPr>
      <w:rPr>
        <w:rFonts w:hint="eastAsia"/>
      </w:rPr>
    </w:lvl>
  </w:abstractNum>
  <w:abstractNum w:abstractNumId="17">
    <w:nsid w:val="DE6F63C0"/>
    <w:multiLevelType w:val="singleLevel"/>
    <w:tmpl w:val="DE6F63C0"/>
    <w:lvl w:ilvl="0" w:tentative="0">
      <w:start w:val="1"/>
      <w:numFmt w:val="decimal"/>
      <w:lvlText w:val="(%1)"/>
      <w:lvlJc w:val="left"/>
      <w:pPr>
        <w:ind w:left="425" w:hanging="425"/>
      </w:pPr>
      <w:rPr>
        <w:rFonts w:hint="default"/>
      </w:rPr>
    </w:lvl>
  </w:abstractNum>
  <w:abstractNum w:abstractNumId="18">
    <w:nsid w:val="E2730C15"/>
    <w:multiLevelType w:val="singleLevel"/>
    <w:tmpl w:val="E2730C15"/>
    <w:lvl w:ilvl="0" w:tentative="0">
      <w:start w:val="1"/>
      <w:numFmt w:val="decimal"/>
      <w:lvlText w:val="%1."/>
      <w:lvlJc w:val="left"/>
      <w:pPr>
        <w:ind w:left="425" w:hanging="425"/>
      </w:pPr>
      <w:rPr>
        <w:rFonts w:hint="default"/>
      </w:rPr>
    </w:lvl>
  </w:abstractNum>
  <w:abstractNum w:abstractNumId="19">
    <w:nsid w:val="E273CBF1"/>
    <w:multiLevelType w:val="singleLevel"/>
    <w:tmpl w:val="E273CBF1"/>
    <w:lvl w:ilvl="0" w:tentative="0">
      <w:start w:val="1"/>
      <w:numFmt w:val="decimal"/>
      <w:lvlText w:val="%1."/>
      <w:lvlJc w:val="left"/>
      <w:pPr>
        <w:ind w:left="425" w:hanging="425"/>
      </w:pPr>
      <w:rPr>
        <w:rFonts w:hint="default"/>
      </w:rPr>
    </w:lvl>
  </w:abstractNum>
  <w:abstractNum w:abstractNumId="20">
    <w:nsid w:val="EDBE903D"/>
    <w:multiLevelType w:val="singleLevel"/>
    <w:tmpl w:val="EDBE903D"/>
    <w:lvl w:ilvl="0" w:tentative="0">
      <w:start w:val="1"/>
      <w:numFmt w:val="decimal"/>
      <w:lvlText w:val="%1."/>
      <w:lvlJc w:val="left"/>
      <w:pPr>
        <w:ind w:left="425" w:hanging="425"/>
      </w:pPr>
      <w:rPr>
        <w:rFonts w:hint="default"/>
      </w:rPr>
    </w:lvl>
  </w:abstractNum>
  <w:abstractNum w:abstractNumId="21">
    <w:nsid w:val="FE26052D"/>
    <w:multiLevelType w:val="multilevel"/>
    <w:tmpl w:val="FE26052D"/>
    <w:lvl w:ilvl="0" w:tentative="0">
      <w:start w:val="1"/>
      <w:numFmt w:val="decimal"/>
      <w:suff w:val="space"/>
      <w:lvlText w:val="%1."/>
      <w:lvlJc w:val="left"/>
      <w:pPr>
        <w:ind w:left="624" w:hanging="624"/>
      </w:pPr>
      <w:rPr>
        <w:rFonts w:hint="default" w:ascii="宋体" w:hAnsi="宋体" w:eastAsia="宋体" w:cs="宋体"/>
        <w:b/>
        <w:i w:val="0"/>
      </w:rPr>
    </w:lvl>
    <w:lvl w:ilvl="1" w:tentative="0">
      <w:start w:val="1"/>
      <w:numFmt w:val="decimal"/>
      <w:suff w:val="space"/>
      <w:lvlText w:val="%1.%2"/>
      <w:lvlJc w:val="left"/>
      <w:pPr>
        <w:ind w:left="624" w:hanging="624"/>
      </w:pPr>
      <w:rPr>
        <w:rFonts w:hint="default" w:ascii="宋体" w:hAnsi="宋体" w:eastAsia="宋体" w:cs="宋体"/>
        <w:b w:val="0"/>
        <w:i w:val="0"/>
        <w:color w:val="auto"/>
        <w:sz w:val="24"/>
        <w:szCs w:val="24"/>
      </w:rPr>
    </w:lvl>
    <w:lvl w:ilvl="2" w:tentative="0">
      <w:start w:val="1"/>
      <w:numFmt w:val="decimal"/>
      <w:suff w:val="space"/>
      <w:lvlText w:val="%1.%2.%3."/>
      <w:lvlJc w:val="left"/>
      <w:pPr>
        <w:ind w:left="709" w:hanging="709"/>
      </w:pPr>
      <w:rPr>
        <w:rFonts w:hint="default" w:ascii="宋体" w:hAnsi="宋体" w:eastAsia="宋体" w:cs="宋体"/>
      </w:rPr>
    </w:lvl>
    <w:lvl w:ilvl="3" w:tentative="0">
      <w:start w:val="1"/>
      <w:numFmt w:val="decimal"/>
      <w:suff w:val="space"/>
      <w:lvlText w:val="%1.%2.%3.%4."/>
      <w:lvlJc w:val="left"/>
      <w:pPr>
        <w:ind w:left="851" w:hanging="851"/>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22">
    <w:nsid w:val="FE9A5839"/>
    <w:multiLevelType w:val="singleLevel"/>
    <w:tmpl w:val="FE9A5839"/>
    <w:lvl w:ilvl="0" w:tentative="0">
      <w:start w:val="1"/>
      <w:numFmt w:val="decimal"/>
      <w:lvlText w:val="%1."/>
      <w:lvlJc w:val="left"/>
      <w:pPr>
        <w:ind w:left="425" w:hanging="425"/>
      </w:pPr>
      <w:rPr>
        <w:rFonts w:hint="default"/>
      </w:rPr>
    </w:lvl>
  </w:abstractNum>
  <w:abstractNum w:abstractNumId="23">
    <w:nsid w:val="0000000B"/>
    <w:multiLevelType w:val="multilevel"/>
    <w:tmpl w:val="0000000B"/>
    <w:lvl w:ilvl="0" w:tentative="0">
      <w:start w:val="1"/>
      <w:numFmt w:val="decimal"/>
      <w:lvlText w:val="（%1）"/>
      <w:lvlJc w:val="left"/>
      <w:pPr>
        <w:tabs>
          <w:tab w:val="left" w:pos="652"/>
        </w:tabs>
        <w:ind w:left="1106" w:hanging="680"/>
      </w:pPr>
      <w:rPr>
        <w:rFonts w:hint="eastAsia"/>
      </w:rPr>
    </w:lvl>
    <w:lvl w:ilvl="1" w:tentative="0">
      <w:start w:val="1"/>
      <w:numFmt w:val="lowerLetter"/>
      <w:lvlText w:val="%2)"/>
      <w:lvlJc w:val="left"/>
      <w:pPr>
        <w:tabs>
          <w:tab w:val="left" w:pos="415"/>
        </w:tabs>
        <w:ind w:left="415" w:hanging="420"/>
      </w:pPr>
    </w:lvl>
    <w:lvl w:ilvl="2" w:tentative="0">
      <w:start w:val="1"/>
      <w:numFmt w:val="lowerRoman"/>
      <w:lvlText w:val="%3."/>
      <w:lvlJc w:val="right"/>
      <w:pPr>
        <w:tabs>
          <w:tab w:val="left" w:pos="835"/>
        </w:tabs>
        <w:ind w:left="835" w:hanging="420"/>
      </w:pPr>
    </w:lvl>
    <w:lvl w:ilvl="3" w:tentative="0">
      <w:start w:val="1"/>
      <w:numFmt w:val="decimal"/>
      <w:lvlText w:val="%4."/>
      <w:lvlJc w:val="left"/>
      <w:pPr>
        <w:tabs>
          <w:tab w:val="left" w:pos="1255"/>
        </w:tabs>
        <w:ind w:left="1255" w:hanging="420"/>
      </w:pPr>
    </w:lvl>
    <w:lvl w:ilvl="4" w:tentative="0">
      <w:start w:val="1"/>
      <w:numFmt w:val="lowerLetter"/>
      <w:lvlText w:val="%5)"/>
      <w:lvlJc w:val="left"/>
      <w:pPr>
        <w:tabs>
          <w:tab w:val="left" w:pos="1675"/>
        </w:tabs>
        <w:ind w:left="1675" w:hanging="420"/>
      </w:pPr>
    </w:lvl>
    <w:lvl w:ilvl="5" w:tentative="0">
      <w:start w:val="1"/>
      <w:numFmt w:val="lowerRoman"/>
      <w:lvlText w:val="%6."/>
      <w:lvlJc w:val="right"/>
      <w:pPr>
        <w:tabs>
          <w:tab w:val="left" w:pos="2095"/>
        </w:tabs>
        <w:ind w:left="2095" w:hanging="420"/>
      </w:pPr>
    </w:lvl>
    <w:lvl w:ilvl="6" w:tentative="0">
      <w:start w:val="1"/>
      <w:numFmt w:val="decimal"/>
      <w:lvlText w:val="%7."/>
      <w:lvlJc w:val="left"/>
      <w:pPr>
        <w:tabs>
          <w:tab w:val="left" w:pos="2515"/>
        </w:tabs>
        <w:ind w:left="2515" w:hanging="420"/>
      </w:pPr>
    </w:lvl>
    <w:lvl w:ilvl="7" w:tentative="0">
      <w:start w:val="1"/>
      <w:numFmt w:val="lowerLetter"/>
      <w:lvlText w:val="%8)"/>
      <w:lvlJc w:val="left"/>
      <w:pPr>
        <w:tabs>
          <w:tab w:val="left" w:pos="2935"/>
        </w:tabs>
        <w:ind w:left="2935" w:hanging="420"/>
      </w:pPr>
    </w:lvl>
    <w:lvl w:ilvl="8" w:tentative="0">
      <w:start w:val="1"/>
      <w:numFmt w:val="lowerRoman"/>
      <w:lvlText w:val="%9."/>
      <w:lvlJc w:val="right"/>
      <w:pPr>
        <w:tabs>
          <w:tab w:val="left" w:pos="3355"/>
        </w:tabs>
        <w:ind w:left="3355" w:hanging="420"/>
      </w:pPr>
    </w:lvl>
  </w:abstractNum>
  <w:abstractNum w:abstractNumId="24">
    <w:nsid w:val="00000016"/>
    <w:multiLevelType w:val="multilevel"/>
    <w:tmpl w:val="00000016"/>
    <w:lvl w:ilvl="0" w:tentative="0">
      <w:start w:val="1"/>
      <w:numFmt w:val="decimal"/>
      <w:lvlText w:val="%1)"/>
      <w:lvlJc w:val="left"/>
      <w:pPr>
        <w:tabs>
          <w:tab w:val="left" w:pos="420"/>
        </w:tabs>
        <w:ind w:left="420" w:hanging="420"/>
      </w:pPr>
      <w:rPr>
        <w:rFonts w:cs="Times New Roman"/>
      </w:rPr>
    </w:lvl>
    <w:lvl w:ilvl="1" w:tentative="0">
      <w:start w:val="1"/>
      <w:numFmt w:val="lowerLetter"/>
      <w:lvlText w:val="%2)"/>
      <w:lvlJc w:val="left"/>
      <w:pPr>
        <w:tabs>
          <w:tab w:val="left" w:pos="840"/>
        </w:tabs>
        <w:ind w:left="840" w:hanging="420"/>
      </w:pPr>
      <w:rPr>
        <w:rFonts w:cs="Times New Roman"/>
      </w:rPr>
    </w:lvl>
    <w:lvl w:ilvl="2" w:tentative="0">
      <w:start w:val="1"/>
      <w:numFmt w:val="lowerRoman"/>
      <w:lvlText w:val="%3."/>
      <w:lvlJc w:val="right"/>
      <w:pPr>
        <w:tabs>
          <w:tab w:val="left" w:pos="1260"/>
        </w:tabs>
        <w:ind w:left="1260" w:hanging="420"/>
      </w:pPr>
      <w:rPr>
        <w:rFonts w:cs="Times New Roman"/>
      </w:rPr>
    </w:lvl>
    <w:lvl w:ilvl="3" w:tentative="0">
      <w:start w:val="1"/>
      <w:numFmt w:val="decimal"/>
      <w:lvlText w:val="%4."/>
      <w:lvlJc w:val="left"/>
      <w:pPr>
        <w:tabs>
          <w:tab w:val="left" w:pos="1680"/>
        </w:tabs>
        <w:ind w:left="1680" w:hanging="420"/>
      </w:pPr>
      <w:rPr>
        <w:rFonts w:cs="Times New Roman"/>
      </w:rPr>
    </w:lvl>
    <w:lvl w:ilvl="4" w:tentative="0">
      <w:start w:val="1"/>
      <w:numFmt w:val="lowerLetter"/>
      <w:lvlText w:val="%5)"/>
      <w:lvlJc w:val="left"/>
      <w:pPr>
        <w:tabs>
          <w:tab w:val="left" w:pos="2100"/>
        </w:tabs>
        <w:ind w:left="2100" w:hanging="420"/>
      </w:pPr>
      <w:rPr>
        <w:rFonts w:cs="Times New Roman"/>
      </w:rPr>
    </w:lvl>
    <w:lvl w:ilvl="5" w:tentative="0">
      <w:start w:val="1"/>
      <w:numFmt w:val="lowerRoman"/>
      <w:lvlText w:val="%6."/>
      <w:lvlJc w:val="right"/>
      <w:pPr>
        <w:tabs>
          <w:tab w:val="left" w:pos="2520"/>
        </w:tabs>
        <w:ind w:left="2520" w:hanging="420"/>
      </w:pPr>
      <w:rPr>
        <w:rFonts w:cs="Times New Roman"/>
      </w:rPr>
    </w:lvl>
    <w:lvl w:ilvl="6" w:tentative="0">
      <w:start w:val="1"/>
      <w:numFmt w:val="decimal"/>
      <w:lvlText w:val="%7."/>
      <w:lvlJc w:val="left"/>
      <w:pPr>
        <w:tabs>
          <w:tab w:val="left" w:pos="2940"/>
        </w:tabs>
        <w:ind w:left="2940" w:hanging="420"/>
      </w:pPr>
      <w:rPr>
        <w:rFonts w:cs="Times New Roman"/>
      </w:rPr>
    </w:lvl>
    <w:lvl w:ilvl="7" w:tentative="0">
      <w:start w:val="1"/>
      <w:numFmt w:val="lowerLetter"/>
      <w:lvlText w:val="%8)"/>
      <w:lvlJc w:val="left"/>
      <w:pPr>
        <w:tabs>
          <w:tab w:val="left" w:pos="3360"/>
        </w:tabs>
        <w:ind w:left="3360" w:hanging="420"/>
      </w:pPr>
      <w:rPr>
        <w:rFonts w:cs="Times New Roman"/>
      </w:rPr>
    </w:lvl>
    <w:lvl w:ilvl="8" w:tentative="0">
      <w:start w:val="1"/>
      <w:numFmt w:val="lowerRoman"/>
      <w:lvlText w:val="%9."/>
      <w:lvlJc w:val="right"/>
      <w:pPr>
        <w:tabs>
          <w:tab w:val="left" w:pos="3780"/>
        </w:tabs>
        <w:ind w:left="3780" w:hanging="420"/>
      </w:pPr>
      <w:rPr>
        <w:rFonts w:cs="Times New Roman"/>
      </w:rPr>
    </w:lvl>
  </w:abstractNum>
  <w:abstractNum w:abstractNumId="25">
    <w:nsid w:val="0000001D"/>
    <w:multiLevelType w:val="multilevel"/>
    <w:tmpl w:val="0000001D"/>
    <w:lvl w:ilvl="0" w:tentative="0">
      <w:start w:val="1"/>
      <w:numFmt w:val="chineseCountingThousand"/>
      <w:suff w:val="nothing"/>
      <w:lvlText w:val="%1、"/>
      <w:lvlJc w:val="left"/>
      <w:rPr>
        <w:rFonts w:hint="eastAsia"/>
        <w:b/>
        <w:i w:val="0"/>
        <w:sz w:val="24"/>
      </w:rPr>
    </w:lvl>
    <w:lvl w:ilvl="1" w:tentative="0">
      <w:start w:val="1"/>
      <w:numFmt w:val="decimal"/>
      <w:pStyle w:val="4"/>
      <w:suff w:val="nothing"/>
      <w:lvlText w:val="%2. "/>
      <w:lvlJc w:val="left"/>
      <w:rPr>
        <w:rFonts w:hint="eastAsia"/>
        <w:b w:val="0"/>
        <w:i w:val="0"/>
        <w:sz w:val="24"/>
      </w:rPr>
    </w:lvl>
    <w:lvl w:ilvl="2" w:tentative="0">
      <w:start w:val="1"/>
      <w:numFmt w:val="none"/>
      <w:suff w:val="nothing"/>
      <w:lvlText w:val=""/>
      <w:lvlJc w:val="left"/>
      <w:rPr>
        <w:rFonts w:hint="eastAsia"/>
      </w:rPr>
    </w:lvl>
    <w:lvl w:ilvl="3" w:tentative="0">
      <w:start w:val="1"/>
      <w:numFmt w:val="none"/>
      <w:suff w:val="nothing"/>
      <w:lvlText w:val=""/>
      <w:lvlJc w:val="left"/>
      <w:rPr>
        <w:rFonts w:hint="eastAsia"/>
      </w:rPr>
    </w:lvl>
    <w:lvl w:ilvl="4" w:tentative="0">
      <w:start w:val="1"/>
      <w:numFmt w:val="none"/>
      <w:suff w:val="nothing"/>
      <w:lvlText w:val=""/>
      <w:lvlJc w:val="left"/>
      <w:rPr>
        <w:rFonts w:hint="eastAsia"/>
      </w:rPr>
    </w:lvl>
    <w:lvl w:ilvl="5" w:tentative="0">
      <w:start w:val="1"/>
      <w:numFmt w:val="none"/>
      <w:suff w:val="nothing"/>
      <w:lvlText w:val=""/>
      <w:lvlJc w:val="left"/>
      <w:rPr>
        <w:rFonts w:hint="eastAsia"/>
      </w:rPr>
    </w:lvl>
    <w:lvl w:ilvl="6" w:tentative="0">
      <w:start w:val="1"/>
      <w:numFmt w:val="none"/>
      <w:suff w:val="nothing"/>
      <w:lvlText w:val=""/>
      <w:lvlJc w:val="left"/>
      <w:rPr>
        <w:rFonts w:hint="eastAsia"/>
      </w:rPr>
    </w:lvl>
    <w:lvl w:ilvl="7" w:tentative="0">
      <w:start w:val="1"/>
      <w:numFmt w:val="none"/>
      <w:suff w:val="nothing"/>
      <w:lvlText w:val=""/>
      <w:lvlJc w:val="left"/>
      <w:rPr>
        <w:rFonts w:hint="eastAsia"/>
      </w:rPr>
    </w:lvl>
    <w:lvl w:ilvl="8" w:tentative="0">
      <w:start w:val="1"/>
      <w:numFmt w:val="none"/>
      <w:suff w:val="nothing"/>
      <w:lvlText w:val=""/>
      <w:lvlJc w:val="left"/>
      <w:rPr>
        <w:rFonts w:hint="eastAsia"/>
      </w:rPr>
    </w:lvl>
  </w:abstractNum>
  <w:abstractNum w:abstractNumId="26">
    <w:nsid w:val="00000022"/>
    <w:multiLevelType w:val="multilevel"/>
    <w:tmpl w:val="00000022"/>
    <w:lvl w:ilvl="0" w:tentative="0">
      <w:start w:val="1"/>
      <w:numFmt w:val="decimal"/>
      <w:lvlText w:val="%1."/>
      <w:lvlJc w:val="left"/>
      <w:pPr>
        <w:tabs>
          <w:tab w:val="left" w:pos="780"/>
        </w:tabs>
        <w:ind w:left="780" w:hanging="360"/>
      </w:pPr>
      <w:rPr>
        <w:rFonts w:hint="eastAsia" w:cs="Times New Roman"/>
      </w:rPr>
    </w:lvl>
    <w:lvl w:ilvl="1" w:tentative="0">
      <w:start w:val="1"/>
      <w:numFmt w:val="lowerLetter"/>
      <w:lvlText w:val="%2)"/>
      <w:lvlJc w:val="left"/>
      <w:pPr>
        <w:tabs>
          <w:tab w:val="left" w:pos="420"/>
        </w:tabs>
        <w:ind w:left="420" w:hanging="420"/>
      </w:pPr>
      <w:rPr>
        <w:rFonts w:cs="Times New Roman"/>
      </w:rPr>
    </w:lvl>
    <w:lvl w:ilvl="2" w:tentative="0">
      <w:start w:val="1"/>
      <w:numFmt w:val="lowerRoman"/>
      <w:lvlText w:val="%3."/>
      <w:lvlJc w:val="right"/>
      <w:pPr>
        <w:tabs>
          <w:tab w:val="left" w:pos="840"/>
        </w:tabs>
        <w:ind w:left="840" w:hanging="420"/>
      </w:pPr>
      <w:rPr>
        <w:rFonts w:cs="Times New Roman"/>
      </w:rPr>
    </w:lvl>
    <w:lvl w:ilvl="3" w:tentative="0">
      <w:start w:val="1"/>
      <w:numFmt w:val="decimal"/>
      <w:lvlText w:val="%4."/>
      <w:lvlJc w:val="left"/>
      <w:pPr>
        <w:tabs>
          <w:tab w:val="left" w:pos="1260"/>
        </w:tabs>
        <w:ind w:left="1260" w:hanging="420"/>
      </w:pPr>
      <w:rPr>
        <w:rFonts w:cs="Times New Roman"/>
      </w:rPr>
    </w:lvl>
    <w:lvl w:ilvl="4" w:tentative="0">
      <w:start w:val="1"/>
      <w:numFmt w:val="lowerLetter"/>
      <w:lvlText w:val="%5)"/>
      <w:lvlJc w:val="left"/>
      <w:pPr>
        <w:tabs>
          <w:tab w:val="left" w:pos="1680"/>
        </w:tabs>
        <w:ind w:left="1680" w:hanging="420"/>
      </w:pPr>
      <w:rPr>
        <w:rFonts w:cs="Times New Roman"/>
      </w:rPr>
    </w:lvl>
    <w:lvl w:ilvl="5" w:tentative="0">
      <w:start w:val="1"/>
      <w:numFmt w:val="lowerRoman"/>
      <w:lvlText w:val="%6."/>
      <w:lvlJc w:val="right"/>
      <w:pPr>
        <w:tabs>
          <w:tab w:val="left" w:pos="2100"/>
        </w:tabs>
        <w:ind w:left="2100" w:hanging="420"/>
      </w:pPr>
      <w:rPr>
        <w:rFonts w:cs="Times New Roman"/>
      </w:rPr>
    </w:lvl>
    <w:lvl w:ilvl="6" w:tentative="0">
      <w:start w:val="1"/>
      <w:numFmt w:val="decimal"/>
      <w:lvlText w:val="%7."/>
      <w:lvlJc w:val="left"/>
      <w:pPr>
        <w:tabs>
          <w:tab w:val="left" w:pos="2520"/>
        </w:tabs>
        <w:ind w:left="2520" w:hanging="420"/>
      </w:pPr>
      <w:rPr>
        <w:rFonts w:cs="Times New Roman"/>
      </w:rPr>
    </w:lvl>
    <w:lvl w:ilvl="7" w:tentative="0">
      <w:start w:val="1"/>
      <w:numFmt w:val="lowerLetter"/>
      <w:lvlText w:val="%8)"/>
      <w:lvlJc w:val="left"/>
      <w:pPr>
        <w:tabs>
          <w:tab w:val="left" w:pos="2940"/>
        </w:tabs>
        <w:ind w:left="2940" w:hanging="420"/>
      </w:pPr>
      <w:rPr>
        <w:rFonts w:cs="Times New Roman"/>
      </w:rPr>
    </w:lvl>
    <w:lvl w:ilvl="8" w:tentative="0">
      <w:start w:val="1"/>
      <w:numFmt w:val="lowerRoman"/>
      <w:lvlText w:val="%9."/>
      <w:lvlJc w:val="right"/>
      <w:pPr>
        <w:tabs>
          <w:tab w:val="left" w:pos="3360"/>
        </w:tabs>
        <w:ind w:left="3360" w:hanging="420"/>
      </w:pPr>
      <w:rPr>
        <w:rFonts w:cs="Times New Roman"/>
      </w:rPr>
    </w:lvl>
  </w:abstractNum>
  <w:abstractNum w:abstractNumId="27">
    <w:nsid w:val="00000023"/>
    <w:multiLevelType w:val="multilevel"/>
    <w:tmpl w:val="00000023"/>
    <w:lvl w:ilvl="0" w:tentative="0">
      <w:start w:val="1"/>
      <w:numFmt w:val="decimal"/>
      <w:lvlText w:val="%1"/>
      <w:lvlJc w:val="left"/>
      <w:pPr>
        <w:tabs>
          <w:tab w:val="left" w:pos="420"/>
        </w:tabs>
        <w:ind w:left="420" w:hanging="420"/>
      </w:pPr>
      <w:rPr>
        <w:rFonts w:hint="eastAsia" w:cs="Times New Roman"/>
      </w:rPr>
    </w:lvl>
    <w:lvl w:ilvl="1" w:tentative="0">
      <w:start w:val="1"/>
      <w:numFmt w:val="decimal"/>
      <w:lvlText w:val="%2)"/>
      <w:lvlJc w:val="left"/>
      <w:pPr>
        <w:tabs>
          <w:tab w:val="left" w:pos="840"/>
        </w:tabs>
        <w:ind w:left="840" w:hanging="420"/>
      </w:pPr>
      <w:rPr>
        <w:rFonts w:hint="eastAsia" w:cs="Times New Roman"/>
      </w:rPr>
    </w:lvl>
    <w:lvl w:ilvl="2" w:tentative="0">
      <w:start w:val="1"/>
      <w:numFmt w:val="lowerRoman"/>
      <w:lvlText w:val="%3."/>
      <w:lvlJc w:val="right"/>
      <w:pPr>
        <w:tabs>
          <w:tab w:val="left" w:pos="1260"/>
        </w:tabs>
        <w:ind w:left="1260" w:hanging="420"/>
      </w:pPr>
      <w:rPr>
        <w:rFonts w:cs="Times New Roman"/>
      </w:rPr>
    </w:lvl>
    <w:lvl w:ilvl="3" w:tentative="0">
      <w:start w:val="1"/>
      <w:numFmt w:val="decimal"/>
      <w:lvlText w:val="%4."/>
      <w:lvlJc w:val="left"/>
      <w:pPr>
        <w:tabs>
          <w:tab w:val="left" w:pos="1680"/>
        </w:tabs>
        <w:ind w:left="1680" w:hanging="420"/>
      </w:pPr>
      <w:rPr>
        <w:rFonts w:cs="Times New Roman"/>
      </w:rPr>
    </w:lvl>
    <w:lvl w:ilvl="4" w:tentative="0">
      <w:start w:val="1"/>
      <w:numFmt w:val="lowerLetter"/>
      <w:lvlText w:val="%5)"/>
      <w:lvlJc w:val="left"/>
      <w:pPr>
        <w:tabs>
          <w:tab w:val="left" w:pos="2100"/>
        </w:tabs>
        <w:ind w:left="2100" w:hanging="420"/>
      </w:pPr>
      <w:rPr>
        <w:rFonts w:cs="Times New Roman"/>
      </w:rPr>
    </w:lvl>
    <w:lvl w:ilvl="5" w:tentative="0">
      <w:start w:val="1"/>
      <w:numFmt w:val="lowerRoman"/>
      <w:lvlText w:val="%6."/>
      <w:lvlJc w:val="right"/>
      <w:pPr>
        <w:tabs>
          <w:tab w:val="left" w:pos="2520"/>
        </w:tabs>
        <w:ind w:left="2520" w:hanging="420"/>
      </w:pPr>
      <w:rPr>
        <w:rFonts w:cs="Times New Roman"/>
      </w:rPr>
    </w:lvl>
    <w:lvl w:ilvl="6" w:tentative="0">
      <w:start w:val="1"/>
      <w:numFmt w:val="decimal"/>
      <w:lvlText w:val="%7."/>
      <w:lvlJc w:val="left"/>
      <w:pPr>
        <w:tabs>
          <w:tab w:val="left" w:pos="2940"/>
        </w:tabs>
        <w:ind w:left="2940" w:hanging="420"/>
      </w:pPr>
      <w:rPr>
        <w:rFonts w:cs="Times New Roman"/>
      </w:rPr>
    </w:lvl>
    <w:lvl w:ilvl="7" w:tentative="0">
      <w:start w:val="1"/>
      <w:numFmt w:val="lowerLetter"/>
      <w:lvlText w:val="%8)"/>
      <w:lvlJc w:val="left"/>
      <w:pPr>
        <w:tabs>
          <w:tab w:val="left" w:pos="3360"/>
        </w:tabs>
        <w:ind w:left="3360" w:hanging="420"/>
      </w:pPr>
      <w:rPr>
        <w:rFonts w:cs="Times New Roman"/>
      </w:rPr>
    </w:lvl>
    <w:lvl w:ilvl="8" w:tentative="0">
      <w:start w:val="1"/>
      <w:numFmt w:val="lowerRoman"/>
      <w:lvlText w:val="%9."/>
      <w:lvlJc w:val="right"/>
      <w:pPr>
        <w:tabs>
          <w:tab w:val="left" w:pos="3780"/>
        </w:tabs>
        <w:ind w:left="3780" w:hanging="420"/>
      </w:pPr>
      <w:rPr>
        <w:rFonts w:cs="Times New Roman"/>
      </w:rPr>
    </w:lvl>
  </w:abstractNum>
  <w:abstractNum w:abstractNumId="28">
    <w:nsid w:val="0000003A"/>
    <w:multiLevelType w:val="multilevel"/>
    <w:tmpl w:val="0000003A"/>
    <w:lvl w:ilvl="0" w:tentative="0">
      <w:start w:val="1"/>
      <w:numFmt w:val="decimal"/>
      <w:lvlText w:val="16.%1"/>
      <w:lvlJc w:val="left"/>
      <w:pPr>
        <w:tabs>
          <w:tab w:val="left" w:pos="840"/>
        </w:tabs>
        <w:ind w:left="840" w:hanging="420"/>
      </w:pPr>
      <w:rPr>
        <w:rFonts w:hint="default" w:ascii="Times New Roman" w:hAnsi="Times New Roman" w:cs="Times New Roman"/>
        <w:b w:val="0"/>
      </w:rPr>
    </w:lvl>
    <w:lvl w:ilvl="1" w:tentative="0">
      <w:start w:val="1"/>
      <w:numFmt w:val="decimal"/>
      <w:lvlText w:val="%2)"/>
      <w:lvlJc w:val="left"/>
      <w:pPr>
        <w:tabs>
          <w:tab w:val="left" w:pos="840"/>
        </w:tabs>
        <w:ind w:left="840" w:hanging="420"/>
      </w:pPr>
      <w:rPr>
        <w:rFonts w:hint="eastAsia" w:cs="Times New Roman"/>
        <w:b w:val="0"/>
        <w:color w:val="auto"/>
      </w:rPr>
    </w:lvl>
    <w:lvl w:ilvl="2" w:tentative="0">
      <w:start w:val="1"/>
      <w:numFmt w:val="lowerRoman"/>
      <w:lvlText w:val="%3."/>
      <w:lvlJc w:val="right"/>
      <w:pPr>
        <w:tabs>
          <w:tab w:val="left" w:pos="1260"/>
        </w:tabs>
        <w:ind w:left="1260" w:hanging="420"/>
      </w:pPr>
      <w:rPr>
        <w:rFonts w:cs="Times New Roman"/>
      </w:rPr>
    </w:lvl>
    <w:lvl w:ilvl="3" w:tentative="0">
      <w:start w:val="1"/>
      <w:numFmt w:val="decimal"/>
      <w:lvlText w:val="%4."/>
      <w:lvlJc w:val="left"/>
      <w:pPr>
        <w:tabs>
          <w:tab w:val="left" w:pos="1680"/>
        </w:tabs>
        <w:ind w:left="1680" w:hanging="420"/>
      </w:pPr>
      <w:rPr>
        <w:rFonts w:cs="Times New Roman"/>
      </w:rPr>
    </w:lvl>
    <w:lvl w:ilvl="4" w:tentative="0">
      <w:start w:val="1"/>
      <w:numFmt w:val="lowerLetter"/>
      <w:lvlText w:val="%5)"/>
      <w:lvlJc w:val="left"/>
      <w:pPr>
        <w:tabs>
          <w:tab w:val="left" w:pos="2100"/>
        </w:tabs>
        <w:ind w:left="2100" w:hanging="420"/>
      </w:pPr>
      <w:rPr>
        <w:rFonts w:cs="Times New Roman"/>
      </w:rPr>
    </w:lvl>
    <w:lvl w:ilvl="5" w:tentative="0">
      <w:start w:val="1"/>
      <w:numFmt w:val="lowerRoman"/>
      <w:lvlText w:val="%6."/>
      <w:lvlJc w:val="right"/>
      <w:pPr>
        <w:tabs>
          <w:tab w:val="left" w:pos="2520"/>
        </w:tabs>
        <w:ind w:left="2520" w:hanging="420"/>
      </w:pPr>
      <w:rPr>
        <w:rFonts w:cs="Times New Roman"/>
      </w:rPr>
    </w:lvl>
    <w:lvl w:ilvl="6" w:tentative="0">
      <w:start w:val="1"/>
      <w:numFmt w:val="decimal"/>
      <w:lvlText w:val="%7."/>
      <w:lvlJc w:val="left"/>
      <w:pPr>
        <w:tabs>
          <w:tab w:val="left" w:pos="2940"/>
        </w:tabs>
        <w:ind w:left="2940" w:hanging="420"/>
      </w:pPr>
      <w:rPr>
        <w:rFonts w:cs="Times New Roman"/>
      </w:rPr>
    </w:lvl>
    <w:lvl w:ilvl="7" w:tentative="0">
      <w:start w:val="1"/>
      <w:numFmt w:val="lowerLetter"/>
      <w:lvlText w:val="%8)"/>
      <w:lvlJc w:val="left"/>
      <w:pPr>
        <w:tabs>
          <w:tab w:val="left" w:pos="3360"/>
        </w:tabs>
        <w:ind w:left="3360" w:hanging="420"/>
      </w:pPr>
      <w:rPr>
        <w:rFonts w:cs="Times New Roman"/>
      </w:rPr>
    </w:lvl>
    <w:lvl w:ilvl="8" w:tentative="0">
      <w:start w:val="1"/>
      <w:numFmt w:val="lowerRoman"/>
      <w:lvlText w:val="%9."/>
      <w:lvlJc w:val="right"/>
      <w:pPr>
        <w:tabs>
          <w:tab w:val="left" w:pos="3780"/>
        </w:tabs>
        <w:ind w:left="3780" w:hanging="420"/>
      </w:pPr>
      <w:rPr>
        <w:rFonts w:cs="Times New Roman"/>
      </w:rPr>
    </w:lvl>
  </w:abstractNum>
  <w:abstractNum w:abstractNumId="29">
    <w:nsid w:val="00000041"/>
    <w:multiLevelType w:val="multilevel"/>
    <w:tmpl w:val="00000041"/>
    <w:lvl w:ilvl="0" w:tentative="0">
      <w:start w:val="1"/>
      <w:numFmt w:val="bullet"/>
      <w:lvlText w:val=""/>
      <w:lvlJc w:val="left"/>
      <w:pPr>
        <w:tabs>
          <w:tab w:val="left" w:pos="598"/>
        </w:tabs>
        <w:ind w:left="598" w:hanging="420"/>
      </w:pPr>
      <w:rPr>
        <w:rFonts w:hint="default" w:ascii="Wingdings" w:hAnsi="Wingdings"/>
      </w:rPr>
    </w:lvl>
    <w:lvl w:ilvl="1" w:tentative="0">
      <w:start w:val="1"/>
      <w:numFmt w:val="decimal"/>
      <w:lvlText w:val="%2."/>
      <w:lvlJc w:val="left"/>
      <w:pPr>
        <w:tabs>
          <w:tab w:val="left" w:pos="1018"/>
        </w:tabs>
        <w:ind w:left="1018" w:hanging="420"/>
      </w:pPr>
      <w:rPr>
        <w:rFonts w:hint="default" w:cs="Times New Roman"/>
      </w:rPr>
    </w:lvl>
    <w:lvl w:ilvl="2" w:tentative="0">
      <w:start w:val="1"/>
      <w:numFmt w:val="bullet"/>
      <w:lvlText w:val=""/>
      <w:lvlJc w:val="left"/>
      <w:pPr>
        <w:tabs>
          <w:tab w:val="left" w:pos="1438"/>
        </w:tabs>
        <w:ind w:left="1438" w:hanging="420"/>
      </w:pPr>
      <w:rPr>
        <w:rFonts w:hint="default" w:ascii="Wingdings" w:hAnsi="Wingdings"/>
      </w:rPr>
    </w:lvl>
    <w:lvl w:ilvl="3" w:tentative="0">
      <w:start w:val="1"/>
      <w:numFmt w:val="bullet"/>
      <w:lvlText w:val=""/>
      <w:lvlJc w:val="left"/>
      <w:pPr>
        <w:tabs>
          <w:tab w:val="left" w:pos="1858"/>
        </w:tabs>
        <w:ind w:left="1858" w:hanging="420"/>
      </w:pPr>
      <w:rPr>
        <w:rFonts w:hint="default" w:ascii="Wingdings" w:hAnsi="Wingdings"/>
      </w:rPr>
    </w:lvl>
    <w:lvl w:ilvl="4" w:tentative="0">
      <w:start w:val="1"/>
      <w:numFmt w:val="bullet"/>
      <w:lvlText w:val=""/>
      <w:lvlJc w:val="left"/>
      <w:pPr>
        <w:tabs>
          <w:tab w:val="left" w:pos="2278"/>
        </w:tabs>
        <w:ind w:left="2278" w:hanging="420"/>
      </w:pPr>
      <w:rPr>
        <w:rFonts w:hint="default" w:ascii="Wingdings" w:hAnsi="Wingdings"/>
      </w:rPr>
    </w:lvl>
    <w:lvl w:ilvl="5" w:tentative="0">
      <w:start w:val="1"/>
      <w:numFmt w:val="bullet"/>
      <w:lvlText w:val=""/>
      <w:lvlJc w:val="left"/>
      <w:pPr>
        <w:tabs>
          <w:tab w:val="left" w:pos="2698"/>
        </w:tabs>
        <w:ind w:left="2698" w:hanging="420"/>
      </w:pPr>
      <w:rPr>
        <w:rFonts w:hint="default" w:ascii="Wingdings" w:hAnsi="Wingdings"/>
      </w:rPr>
    </w:lvl>
    <w:lvl w:ilvl="6" w:tentative="0">
      <w:start w:val="1"/>
      <w:numFmt w:val="bullet"/>
      <w:lvlText w:val=""/>
      <w:lvlJc w:val="left"/>
      <w:pPr>
        <w:tabs>
          <w:tab w:val="left" w:pos="3118"/>
        </w:tabs>
        <w:ind w:left="3118" w:hanging="420"/>
      </w:pPr>
      <w:rPr>
        <w:rFonts w:hint="default" w:ascii="Wingdings" w:hAnsi="Wingdings"/>
      </w:rPr>
    </w:lvl>
    <w:lvl w:ilvl="7" w:tentative="0">
      <w:start w:val="1"/>
      <w:numFmt w:val="bullet"/>
      <w:lvlText w:val=""/>
      <w:lvlJc w:val="left"/>
      <w:pPr>
        <w:tabs>
          <w:tab w:val="left" w:pos="3538"/>
        </w:tabs>
        <w:ind w:left="3538" w:hanging="420"/>
      </w:pPr>
      <w:rPr>
        <w:rFonts w:hint="default" w:ascii="Wingdings" w:hAnsi="Wingdings"/>
      </w:rPr>
    </w:lvl>
    <w:lvl w:ilvl="8" w:tentative="0">
      <w:start w:val="1"/>
      <w:numFmt w:val="bullet"/>
      <w:lvlText w:val=""/>
      <w:lvlJc w:val="left"/>
      <w:pPr>
        <w:tabs>
          <w:tab w:val="left" w:pos="3958"/>
        </w:tabs>
        <w:ind w:left="3958" w:hanging="420"/>
      </w:pPr>
      <w:rPr>
        <w:rFonts w:hint="default" w:ascii="Wingdings" w:hAnsi="Wingdings"/>
      </w:rPr>
    </w:lvl>
  </w:abstractNum>
  <w:abstractNum w:abstractNumId="30">
    <w:nsid w:val="00000043"/>
    <w:multiLevelType w:val="multilevel"/>
    <w:tmpl w:val="00000043"/>
    <w:lvl w:ilvl="0" w:tentative="0">
      <w:start w:val="1"/>
      <w:numFmt w:val="decimal"/>
      <w:lvlText w:val="%1."/>
      <w:lvlJc w:val="left"/>
      <w:pPr>
        <w:tabs>
          <w:tab w:val="left" w:pos="420"/>
        </w:tabs>
        <w:ind w:left="420" w:hanging="420"/>
      </w:pPr>
      <w:rPr>
        <w:rFonts w:cs="Times New Roman"/>
      </w:rPr>
    </w:lvl>
    <w:lvl w:ilvl="1" w:tentative="0">
      <w:start w:val="1"/>
      <w:numFmt w:val="lowerLetter"/>
      <w:lvlText w:val="%2)"/>
      <w:lvlJc w:val="left"/>
      <w:pPr>
        <w:tabs>
          <w:tab w:val="left" w:pos="840"/>
        </w:tabs>
        <w:ind w:left="840" w:hanging="420"/>
      </w:pPr>
      <w:rPr>
        <w:rFonts w:cs="Times New Roman"/>
      </w:rPr>
    </w:lvl>
    <w:lvl w:ilvl="2" w:tentative="0">
      <w:start w:val="5"/>
      <w:numFmt w:val="decimal"/>
      <w:lvlText w:val="%3．"/>
      <w:lvlJc w:val="left"/>
      <w:pPr>
        <w:tabs>
          <w:tab w:val="left" w:pos="1200"/>
        </w:tabs>
        <w:ind w:left="1200" w:hanging="360"/>
      </w:pPr>
      <w:rPr>
        <w:rFonts w:hint="eastAsia" w:cs="Times New Roman"/>
      </w:rPr>
    </w:lvl>
    <w:lvl w:ilvl="3" w:tentative="0">
      <w:start w:val="1"/>
      <w:numFmt w:val="decimal"/>
      <w:lvlText w:val="%4."/>
      <w:lvlJc w:val="left"/>
      <w:pPr>
        <w:tabs>
          <w:tab w:val="left" w:pos="1680"/>
        </w:tabs>
        <w:ind w:left="1680" w:hanging="420"/>
      </w:pPr>
      <w:rPr>
        <w:rFonts w:cs="Times New Roman"/>
      </w:rPr>
    </w:lvl>
    <w:lvl w:ilvl="4" w:tentative="0">
      <w:start w:val="1"/>
      <w:numFmt w:val="lowerLetter"/>
      <w:lvlText w:val="%5)"/>
      <w:lvlJc w:val="left"/>
      <w:pPr>
        <w:tabs>
          <w:tab w:val="left" w:pos="2100"/>
        </w:tabs>
        <w:ind w:left="2100" w:hanging="420"/>
      </w:pPr>
      <w:rPr>
        <w:rFonts w:cs="Times New Roman"/>
      </w:rPr>
    </w:lvl>
    <w:lvl w:ilvl="5" w:tentative="0">
      <w:start w:val="1"/>
      <w:numFmt w:val="lowerRoman"/>
      <w:lvlText w:val="%6."/>
      <w:lvlJc w:val="right"/>
      <w:pPr>
        <w:tabs>
          <w:tab w:val="left" w:pos="2520"/>
        </w:tabs>
        <w:ind w:left="2520" w:hanging="420"/>
      </w:pPr>
      <w:rPr>
        <w:rFonts w:cs="Times New Roman"/>
      </w:rPr>
    </w:lvl>
    <w:lvl w:ilvl="6" w:tentative="0">
      <w:start w:val="1"/>
      <w:numFmt w:val="decimal"/>
      <w:lvlText w:val="%7."/>
      <w:lvlJc w:val="left"/>
      <w:pPr>
        <w:tabs>
          <w:tab w:val="left" w:pos="2940"/>
        </w:tabs>
        <w:ind w:left="2940" w:hanging="420"/>
      </w:pPr>
      <w:rPr>
        <w:rFonts w:cs="Times New Roman"/>
      </w:rPr>
    </w:lvl>
    <w:lvl w:ilvl="7" w:tentative="0">
      <w:start w:val="1"/>
      <w:numFmt w:val="lowerLetter"/>
      <w:lvlText w:val="%8)"/>
      <w:lvlJc w:val="left"/>
      <w:pPr>
        <w:tabs>
          <w:tab w:val="left" w:pos="3360"/>
        </w:tabs>
        <w:ind w:left="3360" w:hanging="420"/>
      </w:pPr>
      <w:rPr>
        <w:rFonts w:cs="Times New Roman"/>
      </w:rPr>
    </w:lvl>
    <w:lvl w:ilvl="8" w:tentative="0">
      <w:start w:val="1"/>
      <w:numFmt w:val="lowerRoman"/>
      <w:lvlText w:val="%9."/>
      <w:lvlJc w:val="right"/>
      <w:pPr>
        <w:tabs>
          <w:tab w:val="left" w:pos="3780"/>
        </w:tabs>
        <w:ind w:left="3780" w:hanging="420"/>
      </w:pPr>
      <w:rPr>
        <w:rFonts w:cs="Times New Roman"/>
      </w:rPr>
    </w:lvl>
  </w:abstractNum>
  <w:abstractNum w:abstractNumId="31">
    <w:nsid w:val="059FDBAB"/>
    <w:multiLevelType w:val="multilevel"/>
    <w:tmpl w:val="059FDBAB"/>
    <w:lvl w:ilvl="0" w:tentative="0">
      <w:start w:val="1"/>
      <w:numFmt w:val="decimal"/>
      <w:suff w:val="space"/>
      <w:lvlText w:val="%1."/>
      <w:lvlJc w:val="left"/>
      <w:pPr>
        <w:ind w:left="624" w:hanging="624"/>
      </w:pPr>
      <w:rPr>
        <w:rFonts w:hint="default" w:ascii="宋体" w:hAnsi="宋体" w:eastAsia="宋体" w:cs="宋体"/>
        <w:b/>
        <w:i w:val="0"/>
      </w:rPr>
    </w:lvl>
    <w:lvl w:ilvl="1" w:tentative="0">
      <w:start w:val="1"/>
      <w:numFmt w:val="decimal"/>
      <w:suff w:val="space"/>
      <w:lvlText w:val="%1.%2"/>
      <w:lvlJc w:val="left"/>
      <w:pPr>
        <w:ind w:left="624" w:hanging="624"/>
      </w:pPr>
      <w:rPr>
        <w:rFonts w:hint="default" w:ascii="宋体" w:hAnsi="宋体" w:eastAsia="宋体" w:cs="宋体"/>
        <w:b w:val="0"/>
        <w:bCs w:val="0"/>
        <w:i w:val="0"/>
        <w:color w:val="auto"/>
        <w:sz w:val="24"/>
        <w:szCs w:val="24"/>
      </w:rPr>
    </w:lvl>
    <w:lvl w:ilvl="2" w:tentative="0">
      <w:start w:val="1"/>
      <w:numFmt w:val="decimal"/>
      <w:suff w:val="space"/>
      <w:lvlText w:val="%1.%2.%3."/>
      <w:lvlJc w:val="left"/>
      <w:pPr>
        <w:ind w:left="709" w:hanging="709"/>
      </w:pPr>
      <w:rPr>
        <w:rFonts w:hint="default" w:ascii="宋体" w:hAnsi="宋体" w:eastAsia="宋体" w:cs="宋体"/>
      </w:rPr>
    </w:lvl>
    <w:lvl w:ilvl="3" w:tentative="0">
      <w:start w:val="1"/>
      <w:numFmt w:val="decimal"/>
      <w:suff w:val="space"/>
      <w:lvlText w:val="%1.%2.%3.%4."/>
      <w:lvlJc w:val="left"/>
      <w:pPr>
        <w:ind w:left="851" w:hanging="851"/>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32">
    <w:nsid w:val="08C84316"/>
    <w:multiLevelType w:val="singleLevel"/>
    <w:tmpl w:val="08C84316"/>
    <w:lvl w:ilvl="0" w:tentative="0">
      <w:start w:val="1"/>
      <w:numFmt w:val="decimal"/>
      <w:suff w:val="space"/>
      <w:lvlText w:val="%1)"/>
      <w:lvlJc w:val="left"/>
      <w:pPr>
        <w:ind w:left="425" w:hanging="425"/>
      </w:pPr>
      <w:rPr>
        <w:rFonts w:hint="default" w:ascii="宋体" w:hAnsi="宋体" w:eastAsia="宋体" w:cs="宋体"/>
      </w:rPr>
    </w:lvl>
  </w:abstractNum>
  <w:abstractNum w:abstractNumId="33">
    <w:nsid w:val="12F1127D"/>
    <w:multiLevelType w:val="singleLevel"/>
    <w:tmpl w:val="12F1127D"/>
    <w:lvl w:ilvl="0" w:tentative="0">
      <w:start w:val="1"/>
      <w:numFmt w:val="decimal"/>
      <w:suff w:val="space"/>
      <w:lvlText w:val="%1."/>
      <w:lvlJc w:val="left"/>
      <w:pPr>
        <w:ind w:left="454" w:leftChars="0" w:hanging="454" w:firstLineChars="0"/>
      </w:pPr>
      <w:rPr>
        <w:rFonts w:hint="default"/>
      </w:rPr>
    </w:lvl>
  </w:abstractNum>
  <w:abstractNum w:abstractNumId="34">
    <w:nsid w:val="15A7C4FD"/>
    <w:multiLevelType w:val="singleLevel"/>
    <w:tmpl w:val="15A7C4FD"/>
    <w:lvl w:ilvl="0" w:tentative="0">
      <w:start w:val="1"/>
      <w:numFmt w:val="decimal"/>
      <w:lvlText w:val="%1."/>
      <w:lvlJc w:val="left"/>
      <w:pPr>
        <w:ind w:left="425" w:hanging="425"/>
      </w:pPr>
      <w:rPr>
        <w:rFonts w:hint="default"/>
      </w:rPr>
    </w:lvl>
  </w:abstractNum>
  <w:abstractNum w:abstractNumId="35">
    <w:nsid w:val="1F8196E8"/>
    <w:multiLevelType w:val="singleLevel"/>
    <w:tmpl w:val="1F8196E8"/>
    <w:lvl w:ilvl="0" w:tentative="0">
      <w:start w:val="1"/>
      <w:numFmt w:val="decimal"/>
      <w:lvlText w:val="(%1)"/>
      <w:lvlJc w:val="left"/>
      <w:pPr>
        <w:ind w:left="425" w:hanging="425"/>
      </w:pPr>
      <w:rPr>
        <w:rFonts w:hint="default"/>
      </w:rPr>
    </w:lvl>
  </w:abstractNum>
  <w:abstractNum w:abstractNumId="36">
    <w:nsid w:val="2056F178"/>
    <w:multiLevelType w:val="multilevel"/>
    <w:tmpl w:val="2056F178"/>
    <w:lvl w:ilvl="0" w:tentative="0">
      <w:start w:val="1"/>
      <w:numFmt w:val="decimal"/>
      <w:suff w:val="space"/>
      <w:lvlText w:val="%1."/>
      <w:lvlJc w:val="left"/>
      <w:pPr>
        <w:ind w:left="624" w:hanging="624"/>
      </w:pPr>
      <w:rPr>
        <w:rFonts w:hint="default" w:ascii="宋体" w:hAnsi="宋体" w:eastAsia="宋体" w:cs="宋体"/>
        <w:b/>
        <w:i w:val="0"/>
      </w:rPr>
    </w:lvl>
    <w:lvl w:ilvl="1" w:tentative="0">
      <w:start w:val="1"/>
      <w:numFmt w:val="decimal"/>
      <w:suff w:val="space"/>
      <w:lvlText w:val="%1.%2"/>
      <w:lvlJc w:val="left"/>
      <w:pPr>
        <w:ind w:left="624" w:hanging="624"/>
      </w:pPr>
      <w:rPr>
        <w:rFonts w:hint="default" w:ascii="宋体" w:hAnsi="宋体" w:eastAsia="宋体" w:cs="宋体"/>
        <w:b w:val="0"/>
        <w:bCs w:val="0"/>
        <w:i w:val="0"/>
        <w:color w:val="auto"/>
        <w:sz w:val="24"/>
        <w:szCs w:val="24"/>
      </w:rPr>
    </w:lvl>
    <w:lvl w:ilvl="2" w:tentative="0">
      <w:start w:val="1"/>
      <w:numFmt w:val="decimal"/>
      <w:suff w:val="space"/>
      <w:lvlText w:val="%1.%2.%3."/>
      <w:lvlJc w:val="left"/>
      <w:pPr>
        <w:ind w:left="709" w:hanging="709"/>
      </w:pPr>
      <w:rPr>
        <w:rFonts w:hint="default" w:ascii="宋体" w:hAnsi="宋体" w:eastAsia="宋体" w:cs="宋体"/>
      </w:rPr>
    </w:lvl>
    <w:lvl w:ilvl="3" w:tentative="0">
      <w:start w:val="1"/>
      <w:numFmt w:val="decimal"/>
      <w:suff w:val="space"/>
      <w:lvlText w:val="%1.%2.%3.%4."/>
      <w:lvlJc w:val="left"/>
      <w:pPr>
        <w:ind w:left="851" w:hanging="851"/>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37">
    <w:nsid w:val="20FB2AD6"/>
    <w:multiLevelType w:val="singleLevel"/>
    <w:tmpl w:val="20FB2AD6"/>
    <w:lvl w:ilvl="0" w:tentative="0">
      <w:start w:val="1"/>
      <w:numFmt w:val="decimal"/>
      <w:lvlText w:val="%1."/>
      <w:lvlJc w:val="left"/>
      <w:pPr>
        <w:ind w:left="425" w:hanging="425"/>
      </w:pPr>
      <w:rPr>
        <w:rFonts w:hint="default"/>
      </w:rPr>
    </w:lvl>
  </w:abstractNum>
  <w:abstractNum w:abstractNumId="38">
    <w:nsid w:val="21D6F3B4"/>
    <w:multiLevelType w:val="multilevel"/>
    <w:tmpl w:val="21D6F3B4"/>
    <w:lvl w:ilvl="0" w:tentative="0">
      <w:start w:val="1"/>
      <w:numFmt w:val="decimal"/>
      <w:lvlText w:val="%1."/>
      <w:lvlJc w:val="left"/>
      <w:pPr>
        <w:tabs>
          <w:tab w:val="left" w:pos="624"/>
        </w:tabs>
        <w:ind w:left="624" w:hanging="624"/>
      </w:pPr>
      <w:rPr>
        <w:rFonts w:hint="default" w:ascii="宋体" w:hAnsi="宋体" w:eastAsia="宋体" w:cs="宋体"/>
        <w:b/>
        <w:i w:val="0"/>
      </w:rPr>
    </w:lvl>
    <w:lvl w:ilvl="1" w:tentative="0">
      <w:start w:val="1"/>
      <w:numFmt w:val="decimal"/>
      <w:lvlText w:val="%1.%2"/>
      <w:lvlJc w:val="left"/>
      <w:pPr>
        <w:tabs>
          <w:tab w:val="left" w:pos="624"/>
        </w:tabs>
        <w:ind w:left="624" w:hanging="624"/>
      </w:pPr>
      <w:rPr>
        <w:rFonts w:hint="default" w:ascii="宋体" w:hAnsi="宋体" w:eastAsia="宋体" w:cs="宋体"/>
        <w:b w:val="0"/>
        <w:i w:val="0"/>
        <w:sz w:val="24"/>
        <w:szCs w:val="24"/>
      </w:rPr>
    </w:lvl>
    <w:lvl w:ilvl="2" w:tentative="0">
      <w:start w:val="1"/>
      <w:numFmt w:val="decimal"/>
      <w:lvlText w:val="%1.%2.%3."/>
      <w:lvlJc w:val="left"/>
      <w:pPr>
        <w:tabs>
          <w:tab w:val="left" w:pos="709"/>
        </w:tabs>
        <w:ind w:left="709" w:hanging="709"/>
      </w:pPr>
      <w:rPr>
        <w:rFonts w:hint="eastAsia"/>
      </w:rPr>
    </w:lvl>
    <w:lvl w:ilvl="3" w:tentative="0">
      <w:start w:val="1"/>
      <w:numFmt w:val="decimal"/>
      <w:lvlText w:val="%1.%2.%3.%4."/>
      <w:lvlJc w:val="left"/>
      <w:pPr>
        <w:tabs>
          <w:tab w:val="left" w:pos="851"/>
        </w:tabs>
        <w:ind w:left="851" w:hanging="851"/>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39">
    <w:nsid w:val="2767BC46"/>
    <w:multiLevelType w:val="singleLevel"/>
    <w:tmpl w:val="2767BC46"/>
    <w:lvl w:ilvl="0" w:tentative="0">
      <w:start w:val="1"/>
      <w:numFmt w:val="decimal"/>
      <w:lvlText w:val="(%1)"/>
      <w:lvlJc w:val="left"/>
      <w:pPr>
        <w:ind w:left="425" w:hanging="425"/>
      </w:pPr>
      <w:rPr>
        <w:rFonts w:hint="default"/>
      </w:rPr>
    </w:lvl>
  </w:abstractNum>
  <w:abstractNum w:abstractNumId="40">
    <w:nsid w:val="2AF33EBD"/>
    <w:multiLevelType w:val="multilevel"/>
    <w:tmpl w:val="2AF33EBD"/>
    <w:lvl w:ilvl="0" w:tentative="0">
      <w:start w:val="1"/>
      <w:numFmt w:val="decimal"/>
      <w:lvlText w:val="（%1）"/>
      <w:lvlJc w:val="left"/>
      <w:pPr>
        <w:tabs>
          <w:tab w:val="left" w:pos="652"/>
        </w:tabs>
        <w:ind w:left="1106" w:hanging="680"/>
      </w:pPr>
      <w:rPr>
        <w:rFonts w:hint="eastAsia"/>
      </w:rPr>
    </w:lvl>
    <w:lvl w:ilvl="1" w:tentative="0">
      <w:start w:val="1"/>
      <w:numFmt w:val="lowerLetter"/>
      <w:lvlText w:val="%2)"/>
      <w:lvlJc w:val="left"/>
      <w:pPr>
        <w:tabs>
          <w:tab w:val="left" w:pos="415"/>
        </w:tabs>
        <w:ind w:left="415" w:hanging="420"/>
      </w:pPr>
    </w:lvl>
    <w:lvl w:ilvl="2" w:tentative="0">
      <w:start w:val="1"/>
      <w:numFmt w:val="lowerRoman"/>
      <w:lvlText w:val="%3."/>
      <w:lvlJc w:val="right"/>
      <w:pPr>
        <w:tabs>
          <w:tab w:val="left" w:pos="835"/>
        </w:tabs>
        <w:ind w:left="835" w:hanging="420"/>
      </w:pPr>
    </w:lvl>
    <w:lvl w:ilvl="3" w:tentative="0">
      <w:start w:val="1"/>
      <w:numFmt w:val="decimal"/>
      <w:lvlText w:val="%4."/>
      <w:lvlJc w:val="left"/>
      <w:pPr>
        <w:tabs>
          <w:tab w:val="left" w:pos="1255"/>
        </w:tabs>
        <w:ind w:left="1255" w:hanging="420"/>
      </w:pPr>
    </w:lvl>
    <w:lvl w:ilvl="4" w:tentative="0">
      <w:start w:val="1"/>
      <w:numFmt w:val="lowerLetter"/>
      <w:lvlText w:val="%5)"/>
      <w:lvlJc w:val="left"/>
      <w:pPr>
        <w:tabs>
          <w:tab w:val="left" w:pos="1675"/>
        </w:tabs>
        <w:ind w:left="1675" w:hanging="420"/>
      </w:pPr>
    </w:lvl>
    <w:lvl w:ilvl="5" w:tentative="0">
      <w:start w:val="1"/>
      <w:numFmt w:val="lowerRoman"/>
      <w:lvlText w:val="%6."/>
      <w:lvlJc w:val="right"/>
      <w:pPr>
        <w:tabs>
          <w:tab w:val="left" w:pos="2095"/>
        </w:tabs>
        <w:ind w:left="2095" w:hanging="420"/>
      </w:pPr>
    </w:lvl>
    <w:lvl w:ilvl="6" w:tentative="0">
      <w:start w:val="1"/>
      <w:numFmt w:val="decimal"/>
      <w:lvlText w:val="%7."/>
      <w:lvlJc w:val="left"/>
      <w:pPr>
        <w:tabs>
          <w:tab w:val="left" w:pos="2515"/>
        </w:tabs>
        <w:ind w:left="2515" w:hanging="420"/>
      </w:pPr>
    </w:lvl>
    <w:lvl w:ilvl="7" w:tentative="0">
      <w:start w:val="1"/>
      <w:numFmt w:val="lowerLetter"/>
      <w:lvlText w:val="%8)"/>
      <w:lvlJc w:val="left"/>
      <w:pPr>
        <w:tabs>
          <w:tab w:val="left" w:pos="2935"/>
        </w:tabs>
        <w:ind w:left="2935" w:hanging="420"/>
      </w:pPr>
    </w:lvl>
    <w:lvl w:ilvl="8" w:tentative="0">
      <w:start w:val="1"/>
      <w:numFmt w:val="lowerRoman"/>
      <w:lvlText w:val="%9."/>
      <w:lvlJc w:val="right"/>
      <w:pPr>
        <w:tabs>
          <w:tab w:val="left" w:pos="3355"/>
        </w:tabs>
        <w:ind w:left="3355" w:hanging="420"/>
      </w:pPr>
    </w:lvl>
  </w:abstractNum>
  <w:abstractNum w:abstractNumId="41">
    <w:nsid w:val="324DD2EE"/>
    <w:multiLevelType w:val="singleLevel"/>
    <w:tmpl w:val="324DD2EE"/>
    <w:lvl w:ilvl="0" w:tentative="0">
      <w:start w:val="1"/>
      <w:numFmt w:val="decimal"/>
      <w:lvlText w:val="%1."/>
      <w:lvlJc w:val="left"/>
      <w:pPr>
        <w:ind w:left="425" w:hanging="425"/>
      </w:pPr>
      <w:rPr>
        <w:rFonts w:hint="default"/>
      </w:rPr>
    </w:lvl>
  </w:abstractNum>
  <w:abstractNum w:abstractNumId="42">
    <w:nsid w:val="3D4E7A76"/>
    <w:multiLevelType w:val="multilevel"/>
    <w:tmpl w:val="3D4E7A76"/>
    <w:lvl w:ilvl="0" w:tentative="0">
      <w:start w:val="1"/>
      <w:numFmt w:val="decimal"/>
      <w:suff w:val="space"/>
      <w:lvlText w:val="%1."/>
      <w:lvlJc w:val="left"/>
      <w:pPr>
        <w:ind w:left="624" w:hanging="624"/>
      </w:pPr>
      <w:rPr>
        <w:rFonts w:hint="default" w:ascii="宋体" w:hAnsi="宋体" w:eastAsia="宋体" w:cs="宋体"/>
        <w:b/>
        <w:i w:val="0"/>
      </w:rPr>
    </w:lvl>
    <w:lvl w:ilvl="1" w:tentative="0">
      <w:start w:val="1"/>
      <w:numFmt w:val="decimal"/>
      <w:suff w:val="space"/>
      <w:lvlText w:val="%1.%2"/>
      <w:lvlJc w:val="left"/>
      <w:pPr>
        <w:ind w:left="624" w:hanging="624"/>
      </w:pPr>
      <w:rPr>
        <w:rFonts w:hint="default" w:ascii="宋体" w:hAnsi="宋体" w:eastAsia="宋体" w:cs="宋体"/>
        <w:b w:val="0"/>
        <w:i w:val="0"/>
        <w:color w:val="auto"/>
        <w:sz w:val="24"/>
        <w:szCs w:val="24"/>
      </w:rPr>
    </w:lvl>
    <w:lvl w:ilvl="2" w:tentative="0">
      <w:start w:val="1"/>
      <w:numFmt w:val="decimal"/>
      <w:suff w:val="space"/>
      <w:lvlText w:val="%1.%2.%3."/>
      <w:lvlJc w:val="left"/>
      <w:pPr>
        <w:ind w:left="709" w:hanging="709"/>
      </w:pPr>
      <w:rPr>
        <w:rFonts w:hint="default" w:ascii="宋体" w:hAnsi="宋体" w:eastAsia="宋体" w:cs="宋体"/>
      </w:rPr>
    </w:lvl>
    <w:lvl w:ilvl="3" w:tentative="0">
      <w:start w:val="1"/>
      <w:numFmt w:val="decimal"/>
      <w:suff w:val="space"/>
      <w:lvlText w:val="%1.%2.%3.%4."/>
      <w:lvlJc w:val="left"/>
      <w:pPr>
        <w:ind w:left="851" w:hanging="851"/>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43">
    <w:nsid w:val="45D53754"/>
    <w:multiLevelType w:val="singleLevel"/>
    <w:tmpl w:val="45D53754"/>
    <w:lvl w:ilvl="0" w:tentative="0">
      <w:start w:val="1"/>
      <w:numFmt w:val="decimal"/>
      <w:lvlText w:val="%1."/>
      <w:lvlJc w:val="left"/>
      <w:pPr>
        <w:ind w:left="425" w:hanging="425"/>
      </w:pPr>
      <w:rPr>
        <w:rFonts w:hint="default"/>
      </w:rPr>
    </w:lvl>
  </w:abstractNum>
  <w:abstractNum w:abstractNumId="44">
    <w:nsid w:val="55ADAA3D"/>
    <w:multiLevelType w:val="singleLevel"/>
    <w:tmpl w:val="55ADAA3D"/>
    <w:lvl w:ilvl="0" w:tentative="0">
      <w:start w:val="1"/>
      <w:numFmt w:val="decimal"/>
      <w:lvlText w:val="%1."/>
      <w:lvlJc w:val="left"/>
      <w:pPr>
        <w:ind w:left="425" w:hanging="425"/>
      </w:pPr>
      <w:rPr>
        <w:rFonts w:hint="default"/>
      </w:rPr>
    </w:lvl>
  </w:abstractNum>
  <w:abstractNum w:abstractNumId="45">
    <w:nsid w:val="59CCDE45"/>
    <w:multiLevelType w:val="multilevel"/>
    <w:tmpl w:val="59CCDE45"/>
    <w:lvl w:ilvl="0" w:tentative="0">
      <w:start w:val="1"/>
      <w:numFmt w:val="decimal"/>
      <w:lvlText w:val="%1."/>
      <w:lvlJc w:val="left"/>
      <w:pPr>
        <w:tabs>
          <w:tab w:val="left" w:pos="624"/>
        </w:tabs>
        <w:ind w:left="624" w:hanging="624"/>
      </w:pPr>
      <w:rPr>
        <w:rFonts w:hint="default" w:ascii="宋体" w:hAnsi="宋体" w:eastAsia="宋体" w:cs="宋体"/>
        <w:b/>
        <w:i w:val="0"/>
      </w:rPr>
    </w:lvl>
    <w:lvl w:ilvl="1" w:tentative="0">
      <w:start w:val="1"/>
      <w:numFmt w:val="decimal"/>
      <w:lvlText w:val="%1.%2"/>
      <w:lvlJc w:val="left"/>
      <w:pPr>
        <w:tabs>
          <w:tab w:val="left" w:pos="624"/>
        </w:tabs>
        <w:ind w:left="624" w:hanging="624"/>
      </w:pPr>
      <w:rPr>
        <w:rFonts w:hint="default" w:ascii="宋体" w:hAnsi="宋体" w:eastAsia="宋体" w:cs="宋体"/>
        <w:b w:val="0"/>
        <w:i w:val="0"/>
        <w:sz w:val="24"/>
        <w:szCs w:val="24"/>
      </w:rPr>
    </w:lvl>
    <w:lvl w:ilvl="2" w:tentative="0">
      <w:start w:val="1"/>
      <w:numFmt w:val="decimal"/>
      <w:lvlText w:val="%1.%2.%3."/>
      <w:lvlJc w:val="left"/>
      <w:pPr>
        <w:tabs>
          <w:tab w:val="left" w:pos="709"/>
        </w:tabs>
        <w:ind w:left="709" w:hanging="709"/>
      </w:pPr>
      <w:rPr>
        <w:rFonts w:hint="eastAsia"/>
      </w:rPr>
    </w:lvl>
    <w:lvl w:ilvl="3" w:tentative="0">
      <w:start w:val="1"/>
      <w:numFmt w:val="decimal"/>
      <w:lvlText w:val="%1.%2.%3.%4."/>
      <w:lvlJc w:val="left"/>
      <w:pPr>
        <w:tabs>
          <w:tab w:val="left" w:pos="851"/>
        </w:tabs>
        <w:ind w:left="851" w:hanging="851"/>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46">
    <w:nsid w:val="5E92D89C"/>
    <w:multiLevelType w:val="multilevel"/>
    <w:tmpl w:val="5E92D89C"/>
    <w:lvl w:ilvl="0" w:tentative="0">
      <w:start w:val="1"/>
      <w:numFmt w:val="decimal"/>
      <w:lvlText w:val="%1."/>
      <w:lvlJc w:val="left"/>
      <w:pPr>
        <w:tabs>
          <w:tab w:val="left" w:pos="780"/>
        </w:tabs>
        <w:ind w:left="780" w:hanging="360"/>
      </w:pPr>
      <w:rPr>
        <w:rFonts w:hint="default" w:ascii="宋体" w:hAnsi="宋体" w:eastAsia="宋体" w:cs="宋体"/>
      </w:rPr>
    </w:lvl>
    <w:lvl w:ilvl="1" w:tentative="0">
      <w:start w:val="1"/>
      <w:numFmt w:val="lowerLetter"/>
      <w:lvlText w:val="%2)"/>
      <w:lvlJc w:val="left"/>
      <w:pPr>
        <w:tabs>
          <w:tab w:val="left" w:pos="420"/>
        </w:tabs>
        <w:ind w:left="420" w:hanging="420"/>
      </w:pPr>
      <w:rPr>
        <w:rFonts w:cs="Times New Roman"/>
      </w:rPr>
    </w:lvl>
    <w:lvl w:ilvl="2" w:tentative="0">
      <w:start w:val="1"/>
      <w:numFmt w:val="lowerRoman"/>
      <w:lvlText w:val="%3."/>
      <w:lvlJc w:val="right"/>
      <w:pPr>
        <w:tabs>
          <w:tab w:val="left" w:pos="840"/>
        </w:tabs>
        <w:ind w:left="840" w:hanging="420"/>
      </w:pPr>
      <w:rPr>
        <w:rFonts w:cs="Times New Roman"/>
      </w:rPr>
    </w:lvl>
    <w:lvl w:ilvl="3" w:tentative="0">
      <w:start w:val="1"/>
      <w:numFmt w:val="decimal"/>
      <w:lvlText w:val="%4."/>
      <w:lvlJc w:val="left"/>
      <w:pPr>
        <w:tabs>
          <w:tab w:val="left" w:pos="1260"/>
        </w:tabs>
        <w:ind w:left="1260" w:hanging="420"/>
      </w:pPr>
      <w:rPr>
        <w:rFonts w:cs="Times New Roman"/>
      </w:rPr>
    </w:lvl>
    <w:lvl w:ilvl="4" w:tentative="0">
      <w:start w:val="1"/>
      <w:numFmt w:val="lowerLetter"/>
      <w:lvlText w:val="%5)"/>
      <w:lvlJc w:val="left"/>
      <w:pPr>
        <w:tabs>
          <w:tab w:val="left" w:pos="1680"/>
        </w:tabs>
        <w:ind w:left="1680" w:hanging="420"/>
      </w:pPr>
      <w:rPr>
        <w:rFonts w:cs="Times New Roman"/>
      </w:rPr>
    </w:lvl>
    <w:lvl w:ilvl="5" w:tentative="0">
      <w:start w:val="1"/>
      <w:numFmt w:val="lowerRoman"/>
      <w:lvlText w:val="%6."/>
      <w:lvlJc w:val="right"/>
      <w:pPr>
        <w:tabs>
          <w:tab w:val="left" w:pos="2100"/>
        </w:tabs>
        <w:ind w:left="2100" w:hanging="420"/>
      </w:pPr>
      <w:rPr>
        <w:rFonts w:cs="Times New Roman"/>
      </w:rPr>
    </w:lvl>
    <w:lvl w:ilvl="6" w:tentative="0">
      <w:start w:val="1"/>
      <w:numFmt w:val="decimal"/>
      <w:lvlText w:val="%7."/>
      <w:lvlJc w:val="left"/>
      <w:pPr>
        <w:tabs>
          <w:tab w:val="left" w:pos="2520"/>
        </w:tabs>
        <w:ind w:left="2520" w:hanging="420"/>
      </w:pPr>
      <w:rPr>
        <w:rFonts w:cs="Times New Roman"/>
      </w:rPr>
    </w:lvl>
    <w:lvl w:ilvl="7" w:tentative="0">
      <w:start w:val="1"/>
      <w:numFmt w:val="lowerLetter"/>
      <w:lvlText w:val="%8)"/>
      <w:lvlJc w:val="left"/>
      <w:pPr>
        <w:tabs>
          <w:tab w:val="left" w:pos="2940"/>
        </w:tabs>
        <w:ind w:left="2940" w:hanging="420"/>
      </w:pPr>
      <w:rPr>
        <w:rFonts w:cs="Times New Roman"/>
      </w:rPr>
    </w:lvl>
    <w:lvl w:ilvl="8" w:tentative="0">
      <w:start w:val="1"/>
      <w:numFmt w:val="lowerRoman"/>
      <w:lvlText w:val="%9."/>
      <w:lvlJc w:val="right"/>
      <w:pPr>
        <w:tabs>
          <w:tab w:val="left" w:pos="3360"/>
        </w:tabs>
        <w:ind w:left="3360" w:hanging="420"/>
      </w:pPr>
      <w:rPr>
        <w:rFonts w:cs="Times New Roman"/>
      </w:rPr>
    </w:lvl>
  </w:abstractNum>
  <w:abstractNum w:abstractNumId="47">
    <w:nsid w:val="671857F2"/>
    <w:multiLevelType w:val="singleLevel"/>
    <w:tmpl w:val="671857F2"/>
    <w:lvl w:ilvl="0" w:tentative="0">
      <w:start w:val="1"/>
      <w:numFmt w:val="decimal"/>
      <w:lvlText w:val="%1."/>
      <w:lvlJc w:val="left"/>
      <w:pPr>
        <w:ind w:left="425" w:hanging="425"/>
      </w:pPr>
      <w:rPr>
        <w:rFonts w:hint="default"/>
      </w:rPr>
    </w:lvl>
  </w:abstractNum>
  <w:abstractNum w:abstractNumId="48">
    <w:nsid w:val="743442DA"/>
    <w:multiLevelType w:val="singleLevel"/>
    <w:tmpl w:val="743442DA"/>
    <w:lvl w:ilvl="0" w:tentative="0">
      <w:start w:val="1"/>
      <w:numFmt w:val="decimal"/>
      <w:lvlText w:val="%1."/>
      <w:lvlJc w:val="left"/>
      <w:pPr>
        <w:ind w:left="425" w:hanging="425"/>
      </w:pPr>
      <w:rPr>
        <w:rFonts w:hint="default"/>
      </w:rPr>
    </w:lvl>
  </w:abstractNum>
  <w:abstractNum w:abstractNumId="49">
    <w:nsid w:val="7BE0831C"/>
    <w:multiLevelType w:val="singleLevel"/>
    <w:tmpl w:val="7BE0831C"/>
    <w:lvl w:ilvl="0" w:tentative="0">
      <w:start w:val="1"/>
      <w:numFmt w:val="chineseCounting"/>
      <w:suff w:val="nothing"/>
      <w:lvlText w:val="%1、"/>
      <w:lvlJc w:val="left"/>
      <w:pPr>
        <w:ind w:left="0" w:firstLine="420"/>
      </w:pPr>
      <w:rPr>
        <w:rFonts w:hint="eastAsia"/>
      </w:rPr>
    </w:lvl>
  </w:abstractNum>
  <w:abstractNum w:abstractNumId="50">
    <w:nsid w:val="7CABA109"/>
    <w:multiLevelType w:val="singleLevel"/>
    <w:tmpl w:val="7CABA109"/>
    <w:lvl w:ilvl="0" w:tentative="0">
      <w:start w:val="2"/>
      <w:numFmt w:val="chineseCounting"/>
      <w:suff w:val="nothing"/>
      <w:lvlText w:val="%1、"/>
      <w:lvlJc w:val="left"/>
      <w:pPr>
        <w:ind w:left="0" w:firstLine="420"/>
      </w:pPr>
      <w:rPr>
        <w:rFonts w:hint="eastAsia"/>
      </w:rPr>
    </w:lvl>
  </w:abstractNum>
  <w:abstractNum w:abstractNumId="51">
    <w:nsid w:val="7D207E09"/>
    <w:multiLevelType w:val="multilevel"/>
    <w:tmpl w:val="7D207E09"/>
    <w:lvl w:ilvl="0" w:tentative="0">
      <w:start w:val="1"/>
      <w:numFmt w:val="decimal"/>
      <w:lvlText w:val="%1."/>
      <w:lvlJc w:val="left"/>
      <w:pPr>
        <w:tabs>
          <w:tab w:val="left" w:pos="624"/>
        </w:tabs>
        <w:ind w:left="624" w:hanging="624"/>
      </w:pPr>
      <w:rPr>
        <w:rFonts w:hint="default" w:ascii="宋体" w:hAnsi="宋体" w:eastAsia="宋体" w:cs="宋体"/>
        <w:b/>
        <w:i w:val="0"/>
      </w:rPr>
    </w:lvl>
    <w:lvl w:ilvl="1" w:tentative="0">
      <w:start w:val="1"/>
      <w:numFmt w:val="decimal"/>
      <w:lvlText w:val="%1.%2"/>
      <w:lvlJc w:val="left"/>
      <w:pPr>
        <w:tabs>
          <w:tab w:val="left" w:pos="624"/>
        </w:tabs>
        <w:ind w:left="624" w:hanging="624"/>
      </w:pPr>
      <w:rPr>
        <w:rFonts w:hint="default" w:ascii="宋体" w:hAnsi="宋体" w:eastAsia="宋体" w:cs="宋体"/>
        <w:b w:val="0"/>
        <w:i w:val="0"/>
        <w:sz w:val="24"/>
        <w:szCs w:val="24"/>
      </w:rPr>
    </w:lvl>
    <w:lvl w:ilvl="2" w:tentative="0">
      <w:start w:val="1"/>
      <w:numFmt w:val="decimal"/>
      <w:lvlText w:val="%1.%2.%3."/>
      <w:lvlJc w:val="left"/>
      <w:pPr>
        <w:tabs>
          <w:tab w:val="left" w:pos="709"/>
        </w:tabs>
        <w:ind w:left="709" w:hanging="709"/>
      </w:pPr>
      <w:rPr>
        <w:rFonts w:hint="eastAsia"/>
      </w:rPr>
    </w:lvl>
    <w:lvl w:ilvl="3" w:tentative="0">
      <w:start w:val="1"/>
      <w:numFmt w:val="decimal"/>
      <w:lvlText w:val="%1.%2.%3.%4."/>
      <w:lvlJc w:val="left"/>
      <w:pPr>
        <w:tabs>
          <w:tab w:val="left" w:pos="851"/>
        </w:tabs>
        <w:ind w:left="851" w:hanging="851"/>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52">
    <w:nsid w:val="7D207E14"/>
    <w:multiLevelType w:val="multilevel"/>
    <w:tmpl w:val="7D207E14"/>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3">
    <w:nsid w:val="7D207E2D"/>
    <w:multiLevelType w:val="multilevel"/>
    <w:tmpl w:val="7D207E2D"/>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25"/>
  </w:num>
  <w:num w:numId="2">
    <w:abstractNumId w:val="49"/>
  </w:num>
  <w:num w:numId="3">
    <w:abstractNumId w:val="22"/>
  </w:num>
  <w:num w:numId="4">
    <w:abstractNumId w:val="50"/>
  </w:num>
  <w:num w:numId="5">
    <w:abstractNumId w:val="44"/>
  </w:num>
  <w:num w:numId="6">
    <w:abstractNumId w:val="39"/>
  </w:num>
  <w:num w:numId="7">
    <w:abstractNumId w:val="12"/>
  </w:num>
  <w:num w:numId="8">
    <w:abstractNumId w:val="43"/>
  </w:num>
  <w:num w:numId="9">
    <w:abstractNumId w:val="37"/>
  </w:num>
  <w:num w:numId="10">
    <w:abstractNumId w:val="1"/>
  </w:num>
  <w:num w:numId="11">
    <w:abstractNumId w:val="36"/>
  </w:num>
  <w:num w:numId="12">
    <w:abstractNumId w:val="5"/>
  </w:num>
  <w:num w:numId="13">
    <w:abstractNumId w:val="14"/>
  </w:num>
  <w:num w:numId="14">
    <w:abstractNumId w:val="27"/>
  </w:num>
  <w:num w:numId="15">
    <w:abstractNumId w:val="19"/>
  </w:num>
  <w:num w:numId="16">
    <w:abstractNumId w:val="6"/>
  </w:num>
  <w:num w:numId="17">
    <w:abstractNumId w:val="48"/>
  </w:num>
  <w:num w:numId="18">
    <w:abstractNumId w:val="34"/>
  </w:num>
  <w:num w:numId="19">
    <w:abstractNumId w:val="18"/>
  </w:num>
  <w:num w:numId="20">
    <w:abstractNumId w:val="2"/>
  </w:num>
  <w:num w:numId="21">
    <w:abstractNumId w:val="35"/>
  </w:num>
  <w:num w:numId="22">
    <w:abstractNumId w:val="32"/>
  </w:num>
  <w:num w:numId="23">
    <w:abstractNumId w:val="24"/>
  </w:num>
  <w:num w:numId="24">
    <w:abstractNumId w:val="28"/>
  </w:num>
  <w:num w:numId="25">
    <w:abstractNumId w:val="23"/>
  </w:num>
  <w:num w:numId="26">
    <w:abstractNumId w:val="40"/>
  </w:num>
  <w:num w:numId="27">
    <w:abstractNumId w:val="15"/>
  </w:num>
  <w:num w:numId="28">
    <w:abstractNumId w:val="16"/>
  </w:num>
  <w:num w:numId="29">
    <w:abstractNumId w:val="31"/>
  </w:num>
  <w:num w:numId="30">
    <w:abstractNumId w:val="20"/>
  </w:num>
  <w:num w:numId="31">
    <w:abstractNumId w:val="42"/>
  </w:num>
  <w:num w:numId="32">
    <w:abstractNumId w:val="51"/>
  </w:num>
  <w:num w:numId="33">
    <w:abstractNumId w:val="21"/>
  </w:num>
  <w:num w:numId="34">
    <w:abstractNumId w:val="45"/>
  </w:num>
  <w:num w:numId="35">
    <w:abstractNumId w:val="9"/>
  </w:num>
  <w:num w:numId="36">
    <w:abstractNumId w:val="10"/>
  </w:num>
  <w:num w:numId="37">
    <w:abstractNumId w:val="8"/>
  </w:num>
  <w:num w:numId="38">
    <w:abstractNumId w:val="7"/>
  </w:num>
  <w:num w:numId="39">
    <w:abstractNumId w:val="38"/>
  </w:num>
  <w:num w:numId="40">
    <w:abstractNumId w:val="4"/>
  </w:num>
  <w:num w:numId="41">
    <w:abstractNumId w:val="13"/>
  </w:num>
  <w:num w:numId="42">
    <w:abstractNumId w:val="41"/>
  </w:num>
  <w:num w:numId="43">
    <w:abstractNumId w:val="3"/>
  </w:num>
  <w:num w:numId="44">
    <w:abstractNumId w:val="33"/>
  </w:num>
  <w:num w:numId="45">
    <w:abstractNumId w:val="30"/>
  </w:num>
  <w:num w:numId="46">
    <w:abstractNumId w:val="0"/>
  </w:num>
  <w:num w:numId="47">
    <w:abstractNumId w:val="17"/>
  </w:num>
  <w:num w:numId="48">
    <w:abstractNumId w:val="11"/>
  </w:num>
  <w:num w:numId="49">
    <w:abstractNumId w:val="47"/>
  </w:num>
  <w:num w:numId="50">
    <w:abstractNumId w:val="29"/>
  </w:num>
  <w:num w:numId="51">
    <w:abstractNumId w:val="26"/>
  </w:num>
  <w:num w:numId="52">
    <w:abstractNumId w:val="52"/>
  </w:num>
  <w:num w:numId="53">
    <w:abstractNumId w:val="53"/>
  </w:num>
  <w:num w:numId="54">
    <w:abstractNumId w:val="4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trackRevisions w:val="1"/>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lhZmY3NzdhYWI1Y2Q3YmYyYzJlZThjODg5ODI0YzYifQ=="/>
  </w:docVars>
  <w:rsids>
    <w:rsidRoot w:val="11E72552"/>
    <w:rsid w:val="004A657C"/>
    <w:rsid w:val="006B43D9"/>
    <w:rsid w:val="00AE65C6"/>
    <w:rsid w:val="00EC3250"/>
    <w:rsid w:val="00ED3CE4"/>
    <w:rsid w:val="015843AC"/>
    <w:rsid w:val="02414958"/>
    <w:rsid w:val="02B32C00"/>
    <w:rsid w:val="03A21007"/>
    <w:rsid w:val="03B37031"/>
    <w:rsid w:val="04423799"/>
    <w:rsid w:val="052A3A2D"/>
    <w:rsid w:val="071224BF"/>
    <w:rsid w:val="074C7075"/>
    <w:rsid w:val="075D7207"/>
    <w:rsid w:val="07D000B4"/>
    <w:rsid w:val="08523894"/>
    <w:rsid w:val="08FC6826"/>
    <w:rsid w:val="09453F67"/>
    <w:rsid w:val="094C1CE0"/>
    <w:rsid w:val="09573962"/>
    <w:rsid w:val="0A587545"/>
    <w:rsid w:val="0A627034"/>
    <w:rsid w:val="0A6833CF"/>
    <w:rsid w:val="0B595C8F"/>
    <w:rsid w:val="0BD339A2"/>
    <w:rsid w:val="0C2268BC"/>
    <w:rsid w:val="0CA21D1B"/>
    <w:rsid w:val="0CB63A18"/>
    <w:rsid w:val="0CF65D4D"/>
    <w:rsid w:val="0D9D3660"/>
    <w:rsid w:val="0E0E7A2B"/>
    <w:rsid w:val="0EF85E12"/>
    <w:rsid w:val="0F4611B0"/>
    <w:rsid w:val="0FEF6374"/>
    <w:rsid w:val="10EF163D"/>
    <w:rsid w:val="11B511EB"/>
    <w:rsid w:val="11C47376"/>
    <w:rsid w:val="11E72552"/>
    <w:rsid w:val="127B43F7"/>
    <w:rsid w:val="12BB5DB4"/>
    <w:rsid w:val="12D21FC6"/>
    <w:rsid w:val="12FA450A"/>
    <w:rsid w:val="13107E1F"/>
    <w:rsid w:val="14A01236"/>
    <w:rsid w:val="14AB4DE7"/>
    <w:rsid w:val="14C40BA3"/>
    <w:rsid w:val="14DD05D4"/>
    <w:rsid w:val="14EC6AE9"/>
    <w:rsid w:val="14F05D28"/>
    <w:rsid w:val="15233C15"/>
    <w:rsid w:val="161B5514"/>
    <w:rsid w:val="16C10B69"/>
    <w:rsid w:val="179B3F36"/>
    <w:rsid w:val="18552E42"/>
    <w:rsid w:val="185F2A28"/>
    <w:rsid w:val="1860735B"/>
    <w:rsid w:val="19755B64"/>
    <w:rsid w:val="19AE7E3F"/>
    <w:rsid w:val="19E85173"/>
    <w:rsid w:val="1A4C32C6"/>
    <w:rsid w:val="1AC71EA6"/>
    <w:rsid w:val="1AF81D29"/>
    <w:rsid w:val="1AFF1443"/>
    <w:rsid w:val="1B016238"/>
    <w:rsid w:val="1C8F0461"/>
    <w:rsid w:val="1C907DE2"/>
    <w:rsid w:val="1CD55BD6"/>
    <w:rsid w:val="1D3D1785"/>
    <w:rsid w:val="1DD05E75"/>
    <w:rsid w:val="1E823209"/>
    <w:rsid w:val="1EB12BED"/>
    <w:rsid w:val="1EC14360"/>
    <w:rsid w:val="1ECC21F6"/>
    <w:rsid w:val="1F6B74E6"/>
    <w:rsid w:val="1F8F25D3"/>
    <w:rsid w:val="1FA0658E"/>
    <w:rsid w:val="1FE6720D"/>
    <w:rsid w:val="201A4329"/>
    <w:rsid w:val="20803D07"/>
    <w:rsid w:val="20CE518C"/>
    <w:rsid w:val="20D504B9"/>
    <w:rsid w:val="20F75C67"/>
    <w:rsid w:val="212213DB"/>
    <w:rsid w:val="214F1B3C"/>
    <w:rsid w:val="22E870F2"/>
    <w:rsid w:val="23353491"/>
    <w:rsid w:val="235E2C87"/>
    <w:rsid w:val="23C0442C"/>
    <w:rsid w:val="267E5EAB"/>
    <w:rsid w:val="26F42199"/>
    <w:rsid w:val="276808A7"/>
    <w:rsid w:val="28384C03"/>
    <w:rsid w:val="28487BD0"/>
    <w:rsid w:val="28D8007D"/>
    <w:rsid w:val="29CD2B92"/>
    <w:rsid w:val="2A000270"/>
    <w:rsid w:val="2AA01437"/>
    <w:rsid w:val="2AD10FC0"/>
    <w:rsid w:val="2B73700C"/>
    <w:rsid w:val="2B8C6B3F"/>
    <w:rsid w:val="2BF21021"/>
    <w:rsid w:val="2C1F074F"/>
    <w:rsid w:val="2C321CD1"/>
    <w:rsid w:val="2CCD4D91"/>
    <w:rsid w:val="2D8A564D"/>
    <w:rsid w:val="2DDE3BAC"/>
    <w:rsid w:val="2F086852"/>
    <w:rsid w:val="2F3A4309"/>
    <w:rsid w:val="2FDA6C3E"/>
    <w:rsid w:val="30D815BD"/>
    <w:rsid w:val="3106646D"/>
    <w:rsid w:val="313D7A21"/>
    <w:rsid w:val="31A1312E"/>
    <w:rsid w:val="31E6583E"/>
    <w:rsid w:val="325B4596"/>
    <w:rsid w:val="33243B49"/>
    <w:rsid w:val="333C57B1"/>
    <w:rsid w:val="342E63AB"/>
    <w:rsid w:val="34AF5971"/>
    <w:rsid w:val="35233328"/>
    <w:rsid w:val="359350A8"/>
    <w:rsid w:val="35B16516"/>
    <w:rsid w:val="36272220"/>
    <w:rsid w:val="38AE18BD"/>
    <w:rsid w:val="38BC22B3"/>
    <w:rsid w:val="38EA217A"/>
    <w:rsid w:val="38FF3EEB"/>
    <w:rsid w:val="392B2B0F"/>
    <w:rsid w:val="39CB0253"/>
    <w:rsid w:val="3AFA7F9B"/>
    <w:rsid w:val="3B9A0AD5"/>
    <w:rsid w:val="3C3A33FB"/>
    <w:rsid w:val="3CB872BF"/>
    <w:rsid w:val="3DE17041"/>
    <w:rsid w:val="3E2D631D"/>
    <w:rsid w:val="3E495CDD"/>
    <w:rsid w:val="3FB1195F"/>
    <w:rsid w:val="3FC65D6C"/>
    <w:rsid w:val="405D57D3"/>
    <w:rsid w:val="4073746E"/>
    <w:rsid w:val="40CF6725"/>
    <w:rsid w:val="41AF35A9"/>
    <w:rsid w:val="438B1580"/>
    <w:rsid w:val="442454D0"/>
    <w:rsid w:val="45B64921"/>
    <w:rsid w:val="463B1E29"/>
    <w:rsid w:val="46F11D8B"/>
    <w:rsid w:val="47E12E91"/>
    <w:rsid w:val="480C61BA"/>
    <w:rsid w:val="48CD1D17"/>
    <w:rsid w:val="49C262A2"/>
    <w:rsid w:val="49D337FD"/>
    <w:rsid w:val="49F96E81"/>
    <w:rsid w:val="4A1573B8"/>
    <w:rsid w:val="4B341CCE"/>
    <w:rsid w:val="4B980FFD"/>
    <w:rsid w:val="4BB84D1D"/>
    <w:rsid w:val="4C407627"/>
    <w:rsid w:val="4E1619F8"/>
    <w:rsid w:val="4E1F1629"/>
    <w:rsid w:val="4E3751B8"/>
    <w:rsid w:val="4E8C7B5A"/>
    <w:rsid w:val="4EC51196"/>
    <w:rsid w:val="4EC52981"/>
    <w:rsid w:val="4F467383"/>
    <w:rsid w:val="4F7E3822"/>
    <w:rsid w:val="50B5705D"/>
    <w:rsid w:val="51B8087A"/>
    <w:rsid w:val="520018B5"/>
    <w:rsid w:val="52191360"/>
    <w:rsid w:val="523D5DD0"/>
    <w:rsid w:val="532349C0"/>
    <w:rsid w:val="53731601"/>
    <w:rsid w:val="53811B3A"/>
    <w:rsid w:val="54763165"/>
    <w:rsid w:val="54AC78C8"/>
    <w:rsid w:val="554A267C"/>
    <w:rsid w:val="55E22B38"/>
    <w:rsid w:val="57697F72"/>
    <w:rsid w:val="576C677A"/>
    <w:rsid w:val="577D22B9"/>
    <w:rsid w:val="57886286"/>
    <w:rsid w:val="5826529A"/>
    <w:rsid w:val="58F93D32"/>
    <w:rsid w:val="59DB5C30"/>
    <w:rsid w:val="5A2F35C8"/>
    <w:rsid w:val="5A7E6940"/>
    <w:rsid w:val="5AA817C4"/>
    <w:rsid w:val="5B1868E7"/>
    <w:rsid w:val="5BD92403"/>
    <w:rsid w:val="5C56525A"/>
    <w:rsid w:val="5CE2128D"/>
    <w:rsid w:val="5D4E5740"/>
    <w:rsid w:val="5DD13A6C"/>
    <w:rsid w:val="5E065686"/>
    <w:rsid w:val="5E421222"/>
    <w:rsid w:val="5E4C7B6F"/>
    <w:rsid w:val="5E850647"/>
    <w:rsid w:val="5E9422A5"/>
    <w:rsid w:val="5E984194"/>
    <w:rsid w:val="5EB42BD6"/>
    <w:rsid w:val="600D4872"/>
    <w:rsid w:val="60624BBE"/>
    <w:rsid w:val="6091419F"/>
    <w:rsid w:val="60963B2E"/>
    <w:rsid w:val="609B00E6"/>
    <w:rsid w:val="610672F6"/>
    <w:rsid w:val="624913A5"/>
    <w:rsid w:val="62E07E5B"/>
    <w:rsid w:val="63A60F6F"/>
    <w:rsid w:val="641A755E"/>
    <w:rsid w:val="64E22594"/>
    <w:rsid w:val="653417D4"/>
    <w:rsid w:val="6569254B"/>
    <w:rsid w:val="663D0E6A"/>
    <w:rsid w:val="669F2D91"/>
    <w:rsid w:val="685C5429"/>
    <w:rsid w:val="68FC264B"/>
    <w:rsid w:val="6A247652"/>
    <w:rsid w:val="6AD20049"/>
    <w:rsid w:val="6B3823E1"/>
    <w:rsid w:val="6B5567E2"/>
    <w:rsid w:val="6B7639AE"/>
    <w:rsid w:val="6C206903"/>
    <w:rsid w:val="6C845220"/>
    <w:rsid w:val="6C9A2A2E"/>
    <w:rsid w:val="6CB35813"/>
    <w:rsid w:val="6DB75E64"/>
    <w:rsid w:val="6EE606DE"/>
    <w:rsid w:val="6F3864FC"/>
    <w:rsid w:val="6F5D497B"/>
    <w:rsid w:val="70052E70"/>
    <w:rsid w:val="72651420"/>
    <w:rsid w:val="743D6361"/>
    <w:rsid w:val="74601C18"/>
    <w:rsid w:val="748F58E9"/>
    <w:rsid w:val="759A5549"/>
    <w:rsid w:val="75B644B6"/>
    <w:rsid w:val="75F62549"/>
    <w:rsid w:val="764C4872"/>
    <w:rsid w:val="77525111"/>
    <w:rsid w:val="77694926"/>
    <w:rsid w:val="794D45CF"/>
    <w:rsid w:val="79AD4310"/>
    <w:rsid w:val="79B61310"/>
    <w:rsid w:val="7B215454"/>
    <w:rsid w:val="7B4655FA"/>
    <w:rsid w:val="7BDE442C"/>
    <w:rsid w:val="7E0C40B3"/>
    <w:rsid w:val="7E760E2D"/>
    <w:rsid w:val="7FBE636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iPriority="99"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iPriority="99"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qFormat="1"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qFormat/>
    <w:uiPriority w:val="0"/>
    <w:pPr>
      <w:keepNext/>
      <w:keepLines/>
      <w:spacing w:before="340" w:beforeLines="0" w:after="330" w:afterLines="0" w:line="576" w:lineRule="auto"/>
      <w:outlineLvl w:val="0"/>
    </w:pPr>
    <w:rPr>
      <w:kern w:val="44"/>
      <w:sz w:val="44"/>
      <w:szCs w:val="44"/>
    </w:rPr>
  </w:style>
  <w:style w:type="paragraph" w:styleId="4">
    <w:name w:val="heading 2"/>
    <w:basedOn w:val="1"/>
    <w:next w:val="1"/>
    <w:qFormat/>
    <w:uiPriority w:val="0"/>
    <w:pPr>
      <w:keepNext/>
      <w:keepLines/>
      <w:numPr>
        <w:ilvl w:val="1"/>
        <w:numId w:val="1"/>
      </w:numPr>
      <w:adjustRightInd w:val="0"/>
      <w:spacing w:before="260" w:beforeLines="0" w:after="260" w:afterLines="0" w:line="416" w:lineRule="atLeast"/>
      <w:textAlignment w:val="baseline"/>
      <w:outlineLvl w:val="1"/>
    </w:pPr>
    <w:rPr>
      <w:rFonts w:ascii="Arial" w:hAnsi="Arial" w:eastAsia="黑体"/>
      <w:b/>
      <w:kern w:val="0"/>
      <w:sz w:val="32"/>
      <w:szCs w:val="20"/>
    </w:rPr>
  </w:style>
  <w:style w:type="paragraph" w:styleId="5">
    <w:name w:val="heading 3"/>
    <w:basedOn w:val="1"/>
    <w:next w:val="1"/>
    <w:qFormat/>
    <w:uiPriority w:val="0"/>
    <w:pPr>
      <w:keepNext/>
      <w:keepLines/>
      <w:spacing w:before="260" w:after="260" w:line="412" w:lineRule="auto"/>
      <w:outlineLvl w:val="2"/>
    </w:pPr>
    <w:rPr>
      <w:b/>
      <w:sz w:val="32"/>
    </w:rPr>
  </w:style>
  <w:style w:type="character" w:default="1" w:styleId="22">
    <w:name w:val="Default Paragraph Font"/>
    <w:semiHidden/>
    <w:qFormat/>
    <w:uiPriority w:val="0"/>
  </w:style>
  <w:style w:type="table" w:default="1" w:styleId="20">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pPr>
      <w:spacing w:after="120"/>
    </w:pPr>
  </w:style>
  <w:style w:type="paragraph" w:styleId="6">
    <w:name w:val="Normal Indent"/>
    <w:basedOn w:val="1"/>
    <w:next w:val="1"/>
    <w:qFormat/>
    <w:uiPriority w:val="0"/>
    <w:pPr>
      <w:widowControl/>
      <w:ind w:firstLine="420" w:firstLineChars="200"/>
      <w:jc w:val="left"/>
    </w:pPr>
    <w:rPr>
      <w:kern w:val="0"/>
      <w:sz w:val="20"/>
      <w:szCs w:val="20"/>
    </w:rPr>
  </w:style>
  <w:style w:type="paragraph" w:styleId="7">
    <w:name w:val="annotation text"/>
    <w:basedOn w:val="1"/>
    <w:unhideWhenUsed/>
    <w:qFormat/>
    <w:uiPriority w:val="99"/>
    <w:pPr>
      <w:jc w:val="left"/>
    </w:pPr>
    <w:rPr>
      <w:rFonts w:ascii="Times New Roman" w:hAnsi="Times New Roman"/>
      <w:szCs w:val="24"/>
    </w:rPr>
  </w:style>
  <w:style w:type="paragraph" w:styleId="8">
    <w:name w:val="Body Text 3"/>
    <w:basedOn w:val="1"/>
    <w:qFormat/>
    <w:uiPriority w:val="0"/>
    <w:pPr>
      <w:spacing w:after="120"/>
    </w:pPr>
    <w:rPr>
      <w:sz w:val="16"/>
      <w:szCs w:val="16"/>
    </w:rPr>
  </w:style>
  <w:style w:type="paragraph" w:styleId="9">
    <w:name w:val="Body Text Indent"/>
    <w:basedOn w:val="1"/>
    <w:next w:val="10"/>
    <w:unhideWhenUsed/>
    <w:qFormat/>
    <w:uiPriority w:val="0"/>
    <w:pPr>
      <w:spacing w:after="120"/>
      <w:ind w:left="420"/>
    </w:pPr>
  </w:style>
  <w:style w:type="paragraph" w:styleId="10">
    <w:name w:val="envelope return"/>
    <w:basedOn w:val="1"/>
    <w:unhideWhenUsed/>
    <w:qFormat/>
    <w:uiPriority w:val="99"/>
    <w:pPr>
      <w:snapToGrid w:val="0"/>
    </w:pPr>
    <w:rPr>
      <w:rFonts w:ascii="Arial" w:hAnsi="Arial"/>
    </w:rPr>
  </w:style>
  <w:style w:type="paragraph" w:styleId="11">
    <w:name w:val="toc 3"/>
    <w:basedOn w:val="1"/>
    <w:next w:val="1"/>
    <w:qFormat/>
    <w:uiPriority w:val="0"/>
    <w:pPr>
      <w:ind w:left="840" w:leftChars="400"/>
    </w:pPr>
  </w:style>
  <w:style w:type="paragraph" w:styleId="12">
    <w:name w:val="Plain Text"/>
    <w:basedOn w:val="1"/>
    <w:next w:val="1"/>
    <w:qFormat/>
    <w:uiPriority w:val="0"/>
    <w:rPr>
      <w:rFonts w:ascii="宋体" w:hAnsi="Courier New"/>
      <w:szCs w:val="20"/>
    </w:rPr>
  </w:style>
  <w:style w:type="paragraph" w:styleId="13">
    <w:name w:val="footer"/>
    <w:basedOn w:val="1"/>
    <w:qFormat/>
    <w:uiPriority w:val="0"/>
    <w:pPr>
      <w:tabs>
        <w:tab w:val="center" w:pos="4153"/>
        <w:tab w:val="right" w:pos="8306"/>
      </w:tabs>
      <w:snapToGrid w:val="0"/>
      <w:jc w:val="left"/>
    </w:pPr>
    <w:rPr>
      <w:sz w:val="18"/>
      <w:szCs w:val="18"/>
    </w:rPr>
  </w:style>
  <w:style w:type="paragraph" w:styleId="14">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15">
    <w:name w:val="toc 1"/>
    <w:basedOn w:val="1"/>
    <w:next w:val="1"/>
    <w:qFormat/>
    <w:uiPriority w:val="0"/>
    <w:pPr>
      <w:spacing w:before="120" w:after="120"/>
      <w:jc w:val="left"/>
    </w:pPr>
    <w:rPr>
      <w:b/>
      <w:bCs/>
      <w:caps/>
      <w:sz w:val="20"/>
      <w:szCs w:val="20"/>
    </w:rPr>
  </w:style>
  <w:style w:type="paragraph" w:styleId="16">
    <w:name w:val="toc 2"/>
    <w:basedOn w:val="1"/>
    <w:next w:val="1"/>
    <w:qFormat/>
    <w:uiPriority w:val="0"/>
    <w:pPr>
      <w:ind w:left="420" w:leftChars="200"/>
    </w:pPr>
  </w:style>
  <w:style w:type="paragraph" w:styleId="17">
    <w:name w:val="Normal (Web)"/>
    <w:basedOn w:val="1"/>
    <w:qFormat/>
    <w:uiPriority w:val="0"/>
    <w:pPr>
      <w:spacing w:before="0" w:beforeAutospacing="1" w:after="0" w:afterAutospacing="1"/>
      <w:ind w:left="0" w:right="0"/>
      <w:jc w:val="left"/>
    </w:pPr>
    <w:rPr>
      <w:kern w:val="0"/>
      <w:sz w:val="24"/>
      <w:lang w:val="en-US" w:eastAsia="zh-CN" w:bidi="ar"/>
    </w:rPr>
  </w:style>
  <w:style w:type="paragraph" w:styleId="18">
    <w:name w:val="Body Text First Indent"/>
    <w:basedOn w:val="1"/>
    <w:qFormat/>
    <w:uiPriority w:val="0"/>
    <w:pPr>
      <w:tabs>
        <w:tab w:val="left" w:pos="420"/>
        <w:tab w:val="left" w:pos="720"/>
      </w:tabs>
      <w:ind w:firstLine="560" w:firstLineChars="200"/>
      <w:jc w:val="left"/>
    </w:pPr>
    <w:rPr>
      <w:rFonts w:ascii="Arial" w:hAnsi="Arial"/>
    </w:rPr>
  </w:style>
  <w:style w:type="paragraph" w:styleId="19">
    <w:name w:val="Body Text First Indent 2"/>
    <w:basedOn w:val="9"/>
    <w:unhideWhenUsed/>
    <w:qFormat/>
    <w:uiPriority w:val="99"/>
    <w:pPr>
      <w:ind w:firstLine="420"/>
    </w:pPr>
    <w:rPr>
      <w:rFonts w:ascii="Times New Roman" w:hAnsi="Times New Roman"/>
      <w:szCs w:val="24"/>
    </w:rPr>
  </w:style>
  <w:style w:type="table" w:styleId="21">
    <w:name w:val="Table Grid"/>
    <w:basedOn w:val="20"/>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3">
    <w:name w:val="page number"/>
    <w:qFormat/>
    <w:uiPriority w:val="0"/>
    <w:rPr>
      <w:rFonts w:cs="Times New Roman"/>
    </w:rPr>
  </w:style>
  <w:style w:type="character" w:styleId="24">
    <w:name w:val="Hyperlink"/>
    <w:qFormat/>
    <w:uiPriority w:val="0"/>
    <w:rPr>
      <w:rFonts w:cs="Times New Roman"/>
      <w:color w:val="0000FF"/>
      <w:u w:val="single"/>
    </w:rPr>
  </w:style>
  <w:style w:type="paragraph" w:styleId="25">
    <w:name w:val="List Paragraph"/>
    <w:basedOn w:val="1"/>
    <w:qFormat/>
    <w:uiPriority w:val="34"/>
    <w:pPr>
      <w:ind w:firstLine="420" w:firstLineChars="200"/>
    </w:pPr>
  </w:style>
  <w:style w:type="paragraph" w:customStyle="1" w:styleId="26">
    <w:name w:val="正文_0"/>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27">
    <w:name w:val="图"/>
    <w:basedOn w:val="1"/>
    <w:qFormat/>
    <w:uiPriority w:val="0"/>
    <w:pPr>
      <w:keepNext/>
      <w:adjustRightInd w:val="0"/>
      <w:spacing w:before="60" w:after="60" w:line="300" w:lineRule="auto"/>
      <w:jc w:val="center"/>
      <w:textAlignment w:val="center"/>
    </w:pPr>
    <w:rPr>
      <w:spacing w:val="20"/>
      <w:kern w:val="0"/>
      <w:sz w:val="24"/>
      <w:szCs w:val="20"/>
    </w:rPr>
  </w:style>
  <w:style w:type="paragraph" w:customStyle="1" w:styleId="28">
    <w:name w:val="正文_39_1"/>
    <w:qFormat/>
    <w:uiPriority w:val="0"/>
    <w:pPr>
      <w:widowControl w:val="0"/>
      <w:jc w:val="both"/>
    </w:pPr>
    <w:rPr>
      <w:rFonts w:ascii="Times New Roman" w:hAnsi="Times New Roman" w:eastAsia="宋体" w:cs="Times New Roman"/>
      <w:kern w:val="2"/>
      <w:sz w:val="21"/>
      <w:szCs w:val="22"/>
      <w:lang w:val="en-US" w:eastAsia="zh-CN" w:bidi="ar-SA"/>
    </w:rPr>
  </w:style>
  <w:style w:type="character" w:customStyle="1" w:styleId="29">
    <w:name w:val="要点_1"/>
    <w:qFormat/>
    <w:uiPriority w:val="22"/>
    <w:rPr>
      <w:b/>
      <w:bCs/>
    </w:rPr>
  </w:style>
  <w:style w:type="paragraph" w:customStyle="1" w:styleId="30">
    <w:name w:val="正文_47"/>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31">
    <w:name w:val="正文_48"/>
    <w:qFormat/>
    <w:uiPriority w:val="0"/>
    <w:pPr>
      <w:widowControl w:val="0"/>
      <w:jc w:val="both"/>
    </w:pPr>
    <w:rPr>
      <w:rFonts w:ascii="Times New Roman" w:hAnsi="Times New Roman" w:eastAsia="宋体" w:cs="Times New Roman"/>
      <w:kern w:val="2"/>
      <w:sz w:val="21"/>
      <w:szCs w:val="24"/>
      <w:lang w:bidi="ar-SA"/>
    </w:rPr>
  </w:style>
  <w:style w:type="character" w:customStyle="1" w:styleId="32">
    <w:name w:val="font21"/>
    <w:basedOn w:val="22"/>
    <w:qFormat/>
    <w:uiPriority w:val="0"/>
    <w:rPr>
      <w:rFonts w:hint="eastAsia" w:ascii="宋体" w:hAnsi="宋体" w:eastAsia="宋体" w:cs="宋体"/>
      <w:color w:val="000000"/>
      <w:sz w:val="22"/>
      <w:szCs w:val="22"/>
      <w:u w:val="none"/>
    </w:rPr>
  </w:style>
  <w:style w:type="character" w:customStyle="1" w:styleId="33">
    <w:name w:val="font01"/>
    <w:basedOn w:val="22"/>
    <w:qFormat/>
    <w:uiPriority w:val="0"/>
    <w:rPr>
      <w:rFonts w:ascii="Tahoma" w:hAnsi="Tahoma" w:eastAsia="Tahoma" w:cs="Tahoma"/>
      <w:color w:val="000000"/>
      <w:sz w:val="22"/>
      <w:szCs w:val="22"/>
      <w:u w:val="none"/>
    </w:rPr>
  </w:style>
  <w:style w:type="paragraph" w:customStyle="1" w:styleId="34">
    <w:name w:val="_Style 3"/>
    <w:qFormat/>
    <w:uiPriority w:val="1"/>
    <w:pPr>
      <w:widowControl w:val="0"/>
      <w:jc w:val="both"/>
    </w:pPr>
    <w:rPr>
      <w:rFonts w:ascii="Times New Roman" w:hAnsi="Times New Roman" w:eastAsia="宋体" w:cs="Times New Roman"/>
      <w:kern w:val="2"/>
      <w:sz w:val="21"/>
      <w:szCs w:val="22"/>
      <w:lang w:val="en-US" w:eastAsia="zh-CN" w:bidi="ar-SA"/>
    </w:rPr>
  </w:style>
  <w:style w:type="paragraph" w:customStyle="1" w:styleId="35">
    <w:name w:val="正文_5_7"/>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36">
    <w:name w:val="正文_43"/>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37">
    <w:name w:val="正文_4_8"/>
    <w:qFormat/>
    <w:uiPriority w:val="0"/>
    <w:pPr>
      <w:widowControl w:val="0"/>
      <w:jc w:val="both"/>
    </w:pPr>
    <w:rPr>
      <w:rFonts w:ascii="Times New Roman" w:hAnsi="Times New Roman" w:eastAsia="宋体" w:cs="Times New Roman"/>
      <w:kern w:val="2"/>
      <w:sz w:val="21"/>
      <w:lang w:val="en-US" w:eastAsia="zh-CN" w:bidi="ar-SA"/>
    </w:rPr>
  </w:style>
  <w:style w:type="character" w:customStyle="1" w:styleId="38">
    <w:name w:val="Intense Reference"/>
    <w:qFormat/>
    <w:uiPriority w:val="32"/>
    <w:rPr>
      <w:b/>
      <w:bCs/>
      <w:smallCaps/>
      <w:color w:val="5B9BD5"/>
      <w:spacing w:val="5"/>
    </w:rPr>
  </w:style>
  <w:style w:type="paragraph" w:customStyle="1" w:styleId="39">
    <w:name w:val="正文_3_1_0"/>
    <w:qFormat/>
    <w:uiPriority w:val="99"/>
    <w:pPr>
      <w:widowControl w:val="0"/>
      <w:jc w:val="both"/>
    </w:pPr>
    <w:rPr>
      <w:rFonts w:ascii="Times New Roman" w:hAnsi="Times New Roman" w:eastAsia="宋体" w:cs="Times New Roman"/>
      <w:color w:val="0000FF"/>
      <w:kern w:val="2"/>
      <w:sz w:val="24"/>
      <w:szCs w:val="24"/>
      <w:lang w:val="en-US" w:eastAsia="zh-CN" w:bidi="ar-SA"/>
    </w:rPr>
  </w:style>
  <w:style w:type="paragraph" w:customStyle="1" w:styleId="40">
    <w:name w:val="正文_8_1_0"/>
    <w:qFormat/>
    <w:uiPriority w:val="99"/>
    <w:pPr>
      <w:widowControl w:val="0"/>
      <w:jc w:val="both"/>
    </w:pPr>
    <w:rPr>
      <w:rFonts w:ascii="Times New Roman" w:hAnsi="Times New Roman" w:eastAsia="宋体" w:cs="Times New Roman"/>
      <w:color w:val="0000FF"/>
      <w:kern w:val="2"/>
      <w:sz w:val="24"/>
      <w:szCs w:val="24"/>
      <w:lang w:val="en-US" w:eastAsia="zh-CN" w:bidi="ar-SA"/>
    </w:rPr>
  </w:style>
  <w:style w:type="paragraph" w:customStyle="1" w:styleId="41">
    <w:name w:val="正文_8_1"/>
    <w:qFormat/>
    <w:uiPriority w:val="99"/>
    <w:pPr>
      <w:widowControl w:val="0"/>
      <w:jc w:val="both"/>
    </w:pPr>
    <w:rPr>
      <w:rFonts w:ascii="Times New Roman" w:hAnsi="Times New Roman" w:eastAsia="宋体" w:cs="Times New Roman"/>
      <w:color w:val="0000FF"/>
      <w:kern w:val="2"/>
      <w:sz w:val="24"/>
      <w:szCs w:val="24"/>
      <w:lang w:val="en-US" w:eastAsia="zh-CN" w:bidi="ar-SA"/>
    </w:rPr>
  </w:style>
  <w:style w:type="paragraph" w:customStyle="1" w:styleId="42">
    <w:name w:val="Normal_0_3"/>
    <w:qFormat/>
    <w:uiPriority w:val="0"/>
    <w:rPr>
      <w:rFonts w:ascii="黑体" w:hAnsi="黑体" w:eastAsia="黑体" w:cs="Times New Roman"/>
      <w:b/>
      <w:sz w:val="32"/>
      <w:szCs w:val="24"/>
      <w:lang w:bidi="ar-SA"/>
    </w:rPr>
  </w:style>
  <w:style w:type="paragraph" w:customStyle="1" w:styleId="43">
    <w:name w:val="Normal_1_4"/>
    <w:qFormat/>
    <w:uiPriority w:val="0"/>
    <w:pPr>
      <w:widowControl w:val="0"/>
      <w:jc w:val="both"/>
    </w:pPr>
    <w:rPr>
      <w:rFonts w:ascii="Times New Roman" w:hAnsi="Times New Roman" w:eastAsia="宋体" w:cs="Times New Roman"/>
      <w:kern w:val="2"/>
      <w:sz w:val="21"/>
      <w:szCs w:val="22"/>
      <w:lang w:bidi="ar-SA"/>
    </w:rPr>
  </w:style>
  <w:style w:type="paragraph" w:customStyle="1" w:styleId="44">
    <w:name w:val="正文_25_1"/>
    <w:qFormat/>
    <w:uiPriority w:val="0"/>
    <w:pPr>
      <w:widowControl w:val="0"/>
      <w:jc w:val="both"/>
    </w:pPr>
    <w:rPr>
      <w:rFonts w:ascii="Times New Roman" w:hAnsi="Times New Roman" w:eastAsia="宋体" w:cs="Times New Roman"/>
      <w:color w:val="0000FF"/>
      <w:kern w:val="2"/>
      <w:sz w:val="24"/>
      <w:szCs w:val="24"/>
      <w:lang w:bidi="ar-SA"/>
    </w:rPr>
  </w:style>
  <w:style w:type="paragraph" w:customStyle="1" w:styleId="45">
    <w:name w:val="Normal_2_1"/>
    <w:qFormat/>
    <w:uiPriority w:val="0"/>
    <w:rPr>
      <w:rFonts w:ascii="黑体" w:hAnsi="黑体" w:eastAsia="黑体" w:cs="Times New Roman"/>
      <w:b/>
      <w:sz w:val="32"/>
      <w:szCs w:val="24"/>
      <w:lang w:bidi="ar-SA"/>
    </w:rPr>
  </w:style>
  <w:style w:type="paragraph" w:customStyle="1" w:styleId="46">
    <w:name w:val="Normal_25_0"/>
    <w:qFormat/>
    <w:uiPriority w:val="0"/>
    <w:rPr>
      <w:rFonts w:ascii="黑体" w:hAnsi="黑体" w:eastAsia="黑体" w:cs="Times New Roman"/>
      <w:b/>
      <w:sz w:val="32"/>
      <w:szCs w:val="24"/>
      <w:lang w:bidi="ar-SA"/>
    </w:rPr>
  </w:style>
  <w:style w:type="paragraph" w:customStyle="1" w:styleId="47">
    <w:name w:val="正文_22_3"/>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48">
    <w:name w:val="正文_16_4"/>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49">
    <w:name w:val="正文_22_0_1"/>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50">
    <w:name w:val="正文_31_1"/>
    <w:qFormat/>
    <w:uiPriority w:val="0"/>
    <w:pPr>
      <w:widowControl w:val="0"/>
      <w:jc w:val="both"/>
    </w:pPr>
    <w:rPr>
      <w:rFonts w:ascii="Times New Roman" w:hAnsi="Times New Roman" w:eastAsia="宋体" w:cs="Times New Roman"/>
      <w:color w:val="0000FF"/>
      <w:kern w:val="2"/>
      <w:sz w:val="24"/>
      <w:szCs w:val="24"/>
      <w:lang w:val="en-US" w:eastAsia="zh-CN" w:bidi="ar-SA"/>
    </w:rPr>
  </w:style>
  <w:style w:type="paragraph" w:customStyle="1" w:styleId="51">
    <w:name w:val="NormalIndent"/>
    <w:basedOn w:val="1"/>
    <w:qFormat/>
    <w:uiPriority w:val="0"/>
    <w:pPr>
      <w:ind w:firstLine="200" w:firstLineChars="200"/>
      <w:jc w:val="both"/>
    </w:pPr>
    <w:rPr>
      <w:rFonts w:eastAsia="等线"/>
      <w:kern w:val="2"/>
      <w:szCs w:val="21"/>
    </w:rPr>
  </w:style>
  <w:style w:type="paragraph" w:customStyle="1" w:styleId="52">
    <w:name w:val="Other|1"/>
    <w:basedOn w:val="1"/>
    <w:qFormat/>
    <w:uiPriority w:val="0"/>
    <w:pPr>
      <w:widowControl w:val="0"/>
      <w:shd w:val="clear" w:color="auto" w:fill="auto"/>
      <w:spacing w:line="312" w:lineRule="exact"/>
    </w:pPr>
    <w:rPr>
      <w:rFonts w:ascii="宋体" w:hAnsi="宋体" w:eastAsia="宋体" w:cs="宋体"/>
      <w:sz w:val="20"/>
      <w:szCs w:val="20"/>
      <w:u w:val="none"/>
      <w:shd w:val="clear" w:color="auto" w:fill="auto"/>
      <w:lang w:val="zh-TW" w:eastAsia="zh-TW" w:bidi="zh-TW"/>
    </w:rPr>
  </w:style>
  <w:style w:type="paragraph" w:customStyle="1" w:styleId="53">
    <w:name w:val="Plain Text1"/>
    <w:basedOn w:val="1"/>
    <w:qFormat/>
    <w:uiPriority w:val="0"/>
    <w:rPr>
      <w:rFonts w:ascii="宋体" w:hAnsi="Courier New" w:cs="Courier New"/>
      <w:szCs w:val="21"/>
    </w:rPr>
  </w:style>
  <w:style w:type="paragraph" w:customStyle="1" w:styleId="54">
    <w:name w:val="Default"/>
    <w:basedOn w:val="55"/>
    <w:unhideWhenUsed/>
    <w:qFormat/>
    <w:uiPriority w:val="99"/>
    <w:pPr>
      <w:widowControl w:val="0"/>
      <w:autoSpaceDE w:val="0"/>
      <w:autoSpaceDN w:val="0"/>
      <w:adjustRightInd w:val="0"/>
    </w:pPr>
    <w:rPr>
      <w:rFonts w:hint="eastAsia" w:ascii="宋体" w:hAnsi="宋体" w:eastAsia="宋体" w:cs="Times New Roman"/>
      <w:color w:val="000000"/>
      <w:sz w:val="24"/>
      <w:lang w:val="en-US" w:eastAsia="zh-CN" w:bidi="ar-SA"/>
    </w:rPr>
  </w:style>
  <w:style w:type="paragraph" w:customStyle="1" w:styleId="55">
    <w:name w:val="正文_2"/>
    <w:next w:val="56"/>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56">
    <w:name w:val="Plain Text2"/>
    <w:basedOn w:val="57"/>
    <w:qFormat/>
    <w:uiPriority w:val="0"/>
    <w:rPr>
      <w:rFonts w:ascii="宋体" w:hAnsi="Courier New" w:cs="Courier New"/>
      <w:szCs w:val="21"/>
    </w:rPr>
  </w:style>
  <w:style w:type="paragraph" w:customStyle="1" w:styleId="57">
    <w:name w:val="正文_1_0_0"/>
    <w:basedOn w:val="58"/>
    <w:next w:val="56"/>
    <w:qFormat/>
    <w:uiPriority w:val="0"/>
  </w:style>
  <w:style w:type="paragraph" w:customStyle="1" w:styleId="58">
    <w:name w:val="正文_1_0"/>
    <w:basedOn w:val="59"/>
    <w:next w:val="56"/>
    <w:qFormat/>
    <w:uiPriority w:val="0"/>
    <w:rPr>
      <w:rFonts w:cs="Times New Roman"/>
      <w:szCs w:val="22"/>
    </w:rPr>
  </w:style>
  <w:style w:type="paragraph" w:customStyle="1" w:styleId="59">
    <w:name w:val="正文_1"/>
    <w:next w:val="53"/>
    <w:qFormat/>
    <w:uiPriority w:val="0"/>
    <w:pPr>
      <w:widowControl w:val="0"/>
      <w:jc w:val="both"/>
    </w:pPr>
    <w:rPr>
      <w:rFonts w:ascii="Calibri" w:hAnsi="Calibri" w:eastAsia="宋体" w:cs="Times New Roman"/>
      <w:kern w:val="2"/>
      <w:sz w:val="21"/>
      <w:szCs w:val="22"/>
      <w:lang w:val="en-US" w:eastAsia="zh-CN" w:bidi="ar-SA"/>
    </w:rPr>
  </w:style>
  <w:style w:type="paragraph" w:customStyle="1" w:styleId="60">
    <w:name w:val="Table Text"/>
    <w:basedOn w:val="1"/>
    <w:semiHidden/>
    <w:qFormat/>
    <w:uiPriority w:val="0"/>
    <w:rPr>
      <w:rFonts w:ascii="宋体" w:hAnsi="宋体" w:eastAsia="宋体" w:cs="宋体"/>
      <w:sz w:val="25"/>
      <w:szCs w:val="25"/>
      <w:lang w:val="en-US" w:eastAsia="en-US" w:bidi="ar-SA"/>
    </w:rPr>
  </w:style>
  <w:style w:type="table" w:customStyle="1" w:styleId="61">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image" Target="media/image1.jpeg"/><Relationship Id="rId8" Type="http://schemas.openxmlformats.org/officeDocument/2006/relationships/theme" Target="theme/theme1.xml"/><Relationship Id="rId7" Type="http://schemas.openxmlformats.org/officeDocument/2006/relationships/footer" Target="footer3.xml"/><Relationship Id="rId6" Type="http://schemas.openxmlformats.org/officeDocument/2006/relationships/header" Target="header2.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image" Target="media/image2.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52</Pages>
  <Words>16320</Words>
  <Characters>17104</Characters>
  <Lines>0</Lines>
  <Paragraphs>0</Paragraphs>
  <TotalTime>1</TotalTime>
  <ScaleCrop>false</ScaleCrop>
  <LinksUpToDate>false</LinksUpToDate>
  <CharactersWithSpaces>17130</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2023-01-18T01:31:00Z</dcterms:created>
  <dc:creator>康上华</dc:creator>
  <cp:lastModifiedBy>代理</cp:lastModifiedBy>
  <dcterms:modified xsi:type="dcterms:W3CDTF">2024-11-19T02:17:22Z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E95A91074AF74034A0CC956600093D3E_13</vt:lpwstr>
  </property>
</Properties>
</file>